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3C" w:rsidRPr="00CA1FA8" w:rsidRDefault="004F6E3C" w:rsidP="00B32FF0">
      <w:pPr>
        <w:pStyle w:val="ListParagraph"/>
        <w:numPr>
          <w:ilvl w:val="1"/>
          <w:numId w:val="5"/>
        </w:numPr>
        <w:ind w:left="0" w:firstLine="0"/>
        <w:jc w:val="both"/>
        <w:rPr>
          <w:rFonts w:ascii="GHEA Grapalat" w:hAnsi="GHEA Grapalat"/>
          <w:b/>
          <w:sz w:val="24"/>
          <w:szCs w:val="24"/>
          <w:lang w:val="hy-AM"/>
        </w:rPr>
      </w:pPr>
      <w:r w:rsidRPr="00CA1FA8">
        <w:rPr>
          <w:rFonts w:ascii="GHEA Grapalat" w:hAnsi="GHEA Grapalat"/>
          <w:b/>
          <w:sz w:val="24"/>
          <w:szCs w:val="24"/>
          <w:lang w:val="hy-AM"/>
        </w:rPr>
        <w:t>Արդարադատության նախարարություն</w:t>
      </w:r>
    </w:p>
    <w:p w:rsidR="004F6E3C" w:rsidRPr="000A5C39" w:rsidRDefault="004F6E3C" w:rsidP="00E142CB">
      <w:pPr>
        <w:pStyle w:val="ListParagraph"/>
        <w:ind w:left="0"/>
        <w:jc w:val="both"/>
        <w:rPr>
          <w:rFonts w:ascii="GHEA Grapalat" w:hAnsi="GHEA Grapalat"/>
          <w:b/>
          <w:sz w:val="24"/>
          <w:szCs w:val="24"/>
          <w:lang w:val="hy-AM"/>
        </w:rPr>
      </w:pPr>
    </w:p>
    <w:p w:rsidR="00163B24" w:rsidRPr="00CA1FA8" w:rsidRDefault="00163B24" w:rsidP="00B32FF0">
      <w:pPr>
        <w:pStyle w:val="ListParagraph"/>
        <w:numPr>
          <w:ilvl w:val="2"/>
          <w:numId w:val="5"/>
        </w:numPr>
        <w:ind w:left="0" w:firstLine="0"/>
        <w:jc w:val="both"/>
        <w:rPr>
          <w:rFonts w:ascii="GHEA Grapalat" w:hAnsi="GHEA Grapalat"/>
          <w:sz w:val="24"/>
          <w:szCs w:val="24"/>
          <w:lang w:val="hy-AM"/>
        </w:rPr>
      </w:pPr>
      <w:r w:rsidRPr="00CA1FA8">
        <w:rPr>
          <w:rFonts w:ascii="GHEA Grapalat" w:hAnsi="GHEA Grapalat"/>
          <w:b/>
          <w:sz w:val="24"/>
          <w:szCs w:val="24"/>
          <w:lang w:val="hy-AM"/>
        </w:rPr>
        <w:t>Սոցիալ-տնտեսական զարգացման հիմնական ուղ</w:t>
      </w:r>
      <w:r w:rsidR="00916657" w:rsidRPr="00CA1FA8">
        <w:rPr>
          <w:rFonts w:ascii="GHEA Grapalat" w:hAnsi="GHEA Grapalat"/>
          <w:b/>
          <w:sz w:val="24"/>
          <w:szCs w:val="24"/>
          <w:lang w:val="hy-AM"/>
        </w:rPr>
        <w:t>ղ</w:t>
      </w:r>
      <w:r w:rsidRPr="00CA1FA8">
        <w:rPr>
          <w:rFonts w:ascii="GHEA Grapalat" w:hAnsi="GHEA Grapalat"/>
          <w:b/>
          <w:sz w:val="24"/>
          <w:szCs w:val="24"/>
          <w:lang w:val="hy-AM"/>
        </w:rPr>
        <w:t>ությունները</w:t>
      </w:r>
    </w:p>
    <w:p w:rsidR="00CA1FA8" w:rsidRPr="00CA1FA8" w:rsidRDefault="00CA1FA8" w:rsidP="009517A7">
      <w:pPr>
        <w:pStyle w:val="ListParagraph"/>
        <w:keepNext/>
        <w:tabs>
          <w:tab w:val="left" w:pos="360"/>
        </w:tabs>
        <w:rPr>
          <w:rFonts w:ascii="Sylfaen" w:eastAsiaTheme="majorEastAsia" w:hAnsi="Sylfaen" w:cstheme="majorBidi"/>
          <w:bCs/>
          <w:color w:val="44546A" w:themeColor="text2"/>
          <w:sz w:val="24"/>
          <w:lang w:val="hy-AM"/>
        </w:rPr>
      </w:pPr>
    </w:p>
    <w:p w:rsidR="00E142CB" w:rsidRPr="00CA1FA8" w:rsidRDefault="009517A7" w:rsidP="007F793D">
      <w:pPr>
        <w:pStyle w:val="ListParagraph"/>
        <w:keepNext/>
        <w:tabs>
          <w:tab w:val="left" w:pos="360"/>
        </w:tabs>
        <w:spacing w:before="120" w:after="120" w:line="276" w:lineRule="auto"/>
        <w:ind w:left="0" w:right="357"/>
        <w:jc w:val="both"/>
        <w:rPr>
          <w:rFonts w:ascii="GHEA Grapalat" w:eastAsiaTheme="majorEastAsia" w:hAnsi="GHEA Grapalat" w:cstheme="majorBidi"/>
          <w:bCs/>
          <w:color w:val="A6A6A6" w:themeColor="background1" w:themeShade="A6"/>
          <w:sz w:val="24"/>
          <w:lang w:val="hy-AM"/>
        </w:rPr>
      </w:pPr>
      <w:r w:rsidRPr="00CA1FA8">
        <w:rPr>
          <w:rFonts w:ascii="GHEA Grapalat" w:eastAsiaTheme="majorEastAsia" w:hAnsi="GHEA Grapalat" w:cstheme="majorBidi"/>
          <w:bCs/>
          <w:color w:val="A6A6A6" w:themeColor="background1" w:themeShade="A6"/>
          <w:sz w:val="24"/>
          <w:lang w:val="hy-AM"/>
        </w:rPr>
        <w:t>Դատական և իրավական բարեփոխումներ</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bookmarkStart w:id="0" w:name="_Toc26174897"/>
      <w:r w:rsidRPr="009517A7">
        <w:rPr>
          <w:rFonts w:ascii="GHEA Grapalat" w:hAnsi="GHEA Grapalat"/>
          <w:lang w:val="hy-AM"/>
        </w:rPr>
        <w:t xml:space="preserve">2026 թվականի ընթացքում նախատեսվում է իրականացնել դատական և իրավական բարեփոխումների 2022-2026 թվականների ռազմավարությունից բխող գործողությունների ծրագրով սահմանված միջոցառումները: </w:t>
      </w:r>
    </w:p>
    <w:p w:rsidR="00A43236" w:rsidRDefault="000A5C39" w:rsidP="007F793D">
      <w:pPr>
        <w:pStyle w:val="ListParagraph"/>
        <w:keepNext/>
        <w:tabs>
          <w:tab w:val="left" w:pos="360"/>
        </w:tabs>
        <w:spacing w:before="120" w:after="120" w:line="276" w:lineRule="auto"/>
        <w:ind w:left="0" w:right="357"/>
        <w:jc w:val="both"/>
        <w:rPr>
          <w:rFonts w:ascii="GHEA Grapalat" w:hAnsi="GHEA Grapalat"/>
          <w:lang w:val="hy-AM"/>
        </w:rPr>
      </w:pPr>
      <w:r w:rsidRPr="009517A7">
        <w:rPr>
          <w:rFonts w:ascii="GHEA Grapalat" w:hAnsi="GHEA Grapalat"/>
          <w:lang w:val="hy-AM"/>
        </w:rPr>
        <w:t>Արդարադատության արդյունավետության բարձրացման համար կշարունակվեն վեճերի լուծման այլընտրանքային եղանակների զարգմացմանն ուղղված աշխատանքները: Այս համատեքստում կարևորվում է հաշտարարության ինքնակարգավորման համակարգի զարգացումը և հաշտարարների համայնքի կարողությունների շարունակական զարգացումը</w:t>
      </w:r>
      <w:r w:rsidR="00A43236">
        <w:rPr>
          <w:rFonts w:ascii="GHEA Grapalat" w:hAnsi="GHEA Grapalat"/>
          <w:lang w:val="hy-AM"/>
        </w:rPr>
        <w:t xml:space="preserve">: </w:t>
      </w:r>
    </w:p>
    <w:p w:rsidR="000A5C39" w:rsidRPr="009517A7" w:rsidRDefault="000A5C39" w:rsidP="007F793D">
      <w:pPr>
        <w:pStyle w:val="ListParagraph"/>
        <w:keepNext/>
        <w:tabs>
          <w:tab w:val="left" w:pos="360"/>
        </w:tabs>
        <w:spacing w:before="120" w:after="120" w:line="276" w:lineRule="auto"/>
        <w:ind w:left="0" w:right="357"/>
        <w:jc w:val="both"/>
        <w:rPr>
          <w:rFonts w:ascii="GHEA Grapalat" w:hAnsi="GHEA Grapalat"/>
          <w:b/>
          <w:lang w:val="hy-AM"/>
        </w:rPr>
      </w:pPr>
      <w:r w:rsidRPr="009517A7">
        <w:rPr>
          <w:rFonts w:ascii="GHEA Grapalat" w:hAnsi="GHEA Grapalat"/>
          <w:lang w:val="hy-AM"/>
        </w:rPr>
        <w:t>Դատական համակարգի բարեփոխումների շրջանակներում նախատեսվում է աշխատանքներ տանել դատարանների ծանրաբեռնվածության թեթևացման ուղղությամբ` հատկապես շեշտը դնելով վարչական և վերաքննիչ վարչական դատարանների ծանրաբեռնվածության թեթևացման վրա: Ծանրաբեռնվածության թեթևացմանը զուգահեռ` նախատեսվում է լուծումներ գտնել դատավարության ժամկետների կրճատման և արդարադատության արդյունավետության բարձրացման ուղղությամբ: Միաժամանակ շարունակվելու են դատավարական օրենսդրությունների կիրառման մշտադիտարկման արդյունքները` ըստ անհրաժեշտության ծագած խնդիրները լուծելու ուղղությամբ օրենսդրական նախաձեռնություններով հանդես գալու համար:</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Սնանկության ոլորտի բարեփոխումների համատեքստում նախատեսվում է աշխատանքներ տանել սնանկության նոր օրենսգրքի նախագծի լրամշակման, քննարկման և Ազգային ժողովի կողմից ընդունմանը նպաստելու ուղղությամբ: Օրենսգրքով լուծում կտրվի սնանկության ոլորտի իրավակիրառ պրակտիկայում բացահայտված խնդիրների հիմնական մասին, կկրճատվեն սնանկության գործերի քննության ժամկետները, կավելացվեն ֆինանսական առողջացումների դեպքերը և կներդրվեն սնանկության հատուկ ընթացակարգեր: Մեկ միասնական ակտի շրջանակում անդրադարձ կկատարվի սնանկության ինչպես ընթացակարգային, այնպես էլ նյութական ասպեկտներին:  Օրենսգրքի նախագծի ընդունման դեպքում անհրաժեշտ կլինի ձեռնամուխ լինել դրանից բխող ենթաօրենսդրական բազայի մշակմանը, ինչպես նաև նոր օրենսգրքի շուրջ հանրային և մասնագիտական քննարկումների և կարողությունների զարգացման դասընթացների կազմակերպմանը:</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t>Դատաիրավական բարեփոխումների շրջանակում անհրաժեշտ է նաև անդրադարձ կատարել առևտրային</w:t>
      </w:r>
      <w:r w:rsidRPr="009517A7">
        <w:rPr>
          <w:rFonts w:ascii="GHEA Grapalat" w:hAnsi="GHEA Grapalat"/>
          <w:lang w:val="hy-AM"/>
        </w:rPr>
        <w:tab/>
        <w:t>կազմակերպություններին վերաբերող իրավակարգավորումները կորպորատիվ իրավունքի ժամանակակից</w:t>
      </w:r>
      <w:r w:rsidRPr="009517A7">
        <w:rPr>
          <w:rFonts w:ascii="GHEA Grapalat" w:hAnsi="GHEA Grapalat"/>
          <w:lang w:val="hy-AM"/>
        </w:rPr>
        <w:tab/>
        <w:t xml:space="preserve">մոտեցումներին համապատասխանեցնելու ուղղությամբ: Այդ համատեքստում անհրաժեշտ կլինի արդեն իսկ ձևավորված հայեցակարգի հիման վրա մշակել առևտրային իրավաբանական անձանց գործունեությունը կարգավորող համապարփակ իրավական ակտի նախագիծ: </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t>Շարունակվելու են աշխատանքները նաև Վարչական իրավախախտումների վերաբերյալ նոր օրենսգրքի նախագծի վերջնականացման և դրա հաստատմանը ներկայացնելու ուղղությամբ:</w:t>
      </w:r>
    </w:p>
    <w:p w:rsidR="000A5C39" w:rsidRPr="009517A7" w:rsidRDefault="000A5C39" w:rsidP="007F793D">
      <w:pPr>
        <w:pStyle w:val="ListParagraph"/>
        <w:spacing w:before="120" w:after="120" w:line="276" w:lineRule="auto"/>
        <w:ind w:left="0" w:right="357"/>
        <w:jc w:val="both"/>
        <w:rPr>
          <w:rFonts w:ascii="GHEA Grapalat" w:hAnsi="GHEA Grapalat"/>
          <w:b/>
          <w:lang w:val="hy-AM"/>
        </w:rPr>
      </w:pPr>
      <w:r w:rsidRPr="009517A7">
        <w:rPr>
          <w:rFonts w:ascii="GHEA Grapalat" w:hAnsi="GHEA Grapalat"/>
          <w:lang w:val="hy-AM"/>
        </w:rPr>
        <w:lastRenderedPageBreak/>
        <w:t>Իրավաբանական օգնության ոլորտի բարեփոխումների շրջանակներում քայլեր կձեռնարկվենհանրային պաշտպանի գրասենյակի ծանրաբեռնվածության թեթևացման ուղղությամբ:</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Նախարարությունը 2026 թվականի ընթացքում շարունակելու է նաև համակարգել նոր Սահմանադրության նախագծի մշակմանն ուղղված աշխատանքները:</w:t>
      </w:r>
    </w:p>
    <w:p w:rsidR="000A5C39" w:rsidRPr="009517A7" w:rsidRDefault="000A5C39" w:rsidP="007F793D">
      <w:pPr>
        <w:pStyle w:val="ListParagraph"/>
        <w:keepNext/>
        <w:tabs>
          <w:tab w:val="left" w:pos="360"/>
        </w:tabs>
        <w:spacing w:before="120" w:after="120" w:line="276" w:lineRule="auto"/>
        <w:ind w:left="0" w:right="357"/>
        <w:jc w:val="both"/>
        <w:rPr>
          <w:rFonts w:ascii="GHEA Grapalat" w:eastAsiaTheme="majorEastAsia" w:hAnsi="GHEA Grapalat" w:cstheme="majorBidi"/>
          <w:bCs/>
          <w:color w:val="44546A" w:themeColor="text2"/>
          <w:highlight w:val="yellow"/>
          <w:lang w:val="hy-AM"/>
        </w:rPr>
      </w:pPr>
    </w:p>
    <w:p w:rsidR="00E142CB" w:rsidRPr="00CA1FA8" w:rsidRDefault="000A5C39" w:rsidP="007F793D">
      <w:pPr>
        <w:keepNext/>
        <w:tabs>
          <w:tab w:val="left" w:pos="360"/>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Էլեկտրոնային արդարադատություն</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Համաձայն 2026 թվականի ծրագրի՝ Արդարադատության նախարարությունը նախատեսում է շարունակել և ավարտել մի շարք կարևոր էլեկտրոնային հարթակների ներդրման ու արդիականացման աշխատանքները, ինչպես նաև ապահովել գործող համակարգերի անխափան սպասարկումը։ </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Մասնավորապես՝ կշարունակվի Վարչական դատարանի նոր ներդրված հարթակի աջակցությունը։ Քաղաքացիական դատարանի էլեկտրոնային հարթակը նախատեսվում է հանձնել Դատական դեպարտամենտին։ Նախատեսվում է նաև ներդնել դատական վիճակագրության նոր մոդուլ: Սնանկության էլեկտրոնային համակարգում հայտնաբերված խնդիրների շտկման աշխատանքները շարունակվում են, և սնանկության դատավարության էլեկտրոնային համակարգը կգործարկվի 2026 թվականի հունվարից։</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Դատական համակարգի թվայնացման աշխատանքների շրջանակներում նախատեսվում է մշակել քրեակատարողական գործերով էլեկտրոնային նոր համակարգ և դատական գործերի միասնական կառավարման համակարգ։</w:t>
      </w:r>
      <w:r w:rsidR="00E142CB" w:rsidRPr="009517A7">
        <w:rPr>
          <w:rFonts w:ascii="GHEA Grapalat" w:hAnsi="GHEA Grapalat"/>
          <w:lang w:val="hy-AM"/>
        </w:rPr>
        <w:t xml:space="preserve"> </w:t>
      </w:r>
      <w:r w:rsidRPr="009517A7">
        <w:rPr>
          <w:rFonts w:ascii="GHEA Grapalat" w:hAnsi="GHEA Grapalat"/>
          <w:lang w:val="hy-AM"/>
        </w:rPr>
        <w:t>Գործընթացների վերանայման աշխատանքներն արդեն սկսվել են և 2026 թվականին նախատեսվում է մշակել քրեական դատավարության և դատական գործերի միասնական կառավարման համակարգի տեխնիկական առաջադրանքները։ Այս մոտեցումը թույլ կտա ստեղծել ժամանակակից և փոխգործունակ համակարգ։</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Շարունակական բարելավումներ են նախատեսվում նաև</w:t>
      </w:r>
      <w:r w:rsidRPr="009517A7">
        <w:rPr>
          <w:rFonts w:ascii="Calibri" w:hAnsi="Calibri" w:cs="Calibri"/>
          <w:lang w:val="hy-AM"/>
        </w:rPr>
        <w:t> </w:t>
      </w:r>
      <w:r w:rsidRPr="009517A7">
        <w:rPr>
          <w:rFonts w:ascii="GHEA Grapalat" w:hAnsi="GHEA Grapalat"/>
          <w:lang w:val="hy-AM"/>
        </w:rPr>
        <w:t xml:space="preserve"> հարկադիր կատարումն ապահովող ծառայության ծրագրային ապահովման</w:t>
      </w:r>
      <w:r w:rsidRPr="009517A7">
        <w:rPr>
          <w:rFonts w:ascii="Calibri" w:hAnsi="Calibri" w:cs="Calibri"/>
          <w:lang w:val="hy-AM"/>
        </w:rPr>
        <w:t> </w:t>
      </w:r>
      <w:r w:rsidRPr="009517A7">
        <w:rPr>
          <w:rFonts w:ascii="GHEA Grapalat" w:hAnsi="GHEA Grapalat"/>
          <w:lang w:val="hy-AM"/>
        </w:rPr>
        <w:t>մեջ։</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 xml:space="preserve">Ներդրված </w:t>
      </w:r>
      <w:r w:rsidRPr="009517A7">
        <w:rPr>
          <w:rFonts w:ascii="Calibri" w:hAnsi="Calibri" w:cs="Calibri"/>
          <w:lang w:val="hy-AM"/>
        </w:rPr>
        <w:t> </w:t>
      </w:r>
      <w:r w:rsidRPr="009517A7">
        <w:rPr>
          <w:rFonts w:ascii="GHEA Grapalat" w:hAnsi="GHEA Grapalat"/>
          <w:lang w:val="hy-AM"/>
        </w:rPr>
        <w:t>էլեկտրոնային հաշտարարության համակարգի</w:t>
      </w:r>
      <w:r w:rsidRPr="009517A7">
        <w:rPr>
          <w:rFonts w:ascii="Calibri" w:hAnsi="Calibri" w:cs="Calibri"/>
          <w:lang w:val="hy-AM"/>
        </w:rPr>
        <w:t> </w:t>
      </w:r>
      <w:r w:rsidRPr="009517A7">
        <w:rPr>
          <w:rFonts w:ascii="GHEA Grapalat" w:hAnsi="GHEA Grapalat"/>
          <w:lang w:val="hy-AM"/>
        </w:rPr>
        <w:t>սպասարկումը և բարելավումները նախատեսվում են իրականացնել 2026 թվականին։</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Առաջիկայում նախատեսվում</w:t>
      </w:r>
      <w:r w:rsidRPr="009517A7">
        <w:rPr>
          <w:rFonts w:ascii="Calibri" w:hAnsi="Calibri" w:cs="Calibri"/>
          <w:lang w:val="hy-AM"/>
        </w:rPr>
        <w:t> </w:t>
      </w:r>
      <w:r w:rsidRPr="009517A7">
        <w:rPr>
          <w:rFonts w:ascii="GHEA Grapalat" w:hAnsi="GHEA Grapalat"/>
          <w:lang w:val="hy-AM"/>
        </w:rPr>
        <w:t xml:space="preserve"> է արդիականացնել պրոբացիայի գործող համակարգը և այն համալրել մատնահետքի սկաներներով։ Նախատեսվում է նաև մշակել հսկողության նոր համակարգեր:</w:t>
      </w:r>
    </w:p>
    <w:p w:rsidR="000A5C39" w:rsidRPr="009517A7" w:rsidRDefault="000A5C39" w:rsidP="007F793D">
      <w:pPr>
        <w:spacing w:before="120" w:after="120" w:line="276" w:lineRule="auto"/>
        <w:ind w:right="357"/>
        <w:contextualSpacing/>
        <w:jc w:val="both"/>
        <w:rPr>
          <w:rFonts w:ascii="GHEA Grapalat" w:hAnsi="GHEA Grapalat"/>
          <w:lang w:val="hy-AM"/>
        </w:rPr>
      </w:pPr>
      <w:r w:rsidRPr="00A43236">
        <w:rPr>
          <w:rFonts w:ascii="GHEA Grapalat" w:hAnsi="GHEA Grapalat"/>
          <w:lang w:val="hy-AM"/>
        </w:rPr>
        <w:t>2026 թվականին նախատեսվում է ավարտել քրեակատարողական էլեկտրոնային համակարգի գնման գործընթացը։</w:t>
      </w:r>
      <w:r w:rsidRPr="009517A7">
        <w:rPr>
          <w:rFonts w:ascii="GHEA Grapalat" w:hAnsi="GHEA Grapalat"/>
          <w:lang w:val="hy-AM"/>
        </w:rPr>
        <w:t xml:space="preserve"> Բացի այդ, աշխատանքներ են տարվում դատապարտյալների թվային հմտությունների բարելավման ուղղությամբ, ինչպես նաև նախատեսվում է փորձնական թվային գրադարանի նոր համակարգի ներդրում երկու քրեակատարողական հիմնարկներում:</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Իրավական ակտերի նախագծերի հրապարակման էլեկտրոնային համակարգը արդիականացվել է և առաջիկայում նախատեսվում է այն գործարկել և շարունակական կատարելագործել՝ ներառյալ արհեստական բանականության գործիքների կիրառումը: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2026 թվականին նախատեսվում է ավարտել միասնական «էլեկտրոնային նոտար» համակարգի գնումը և սկսել դրա նախագծման աշխատանքները։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lastRenderedPageBreak/>
        <w:t>Կշարունակվեն</w:t>
      </w:r>
      <w:r w:rsidRPr="009517A7">
        <w:rPr>
          <w:rFonts w:ascii="Calibri" w:hAnsi="Calibri" w:cs="Calibri"/>
          <w:lang w:val="hy-AM"/>
        </w:rPr>
        <w:t> </w:t>
      </w:r>
      <w:r w:rsidRPr="009517A7">
        <w:rPr>
          <w:rFonts w:ascii="GHEA Grapalat" w:hAnsi="GHEA Grapalat"/>
          <w:lang w:val="hy-AM"/>
        </w:rPr>
        <w:t xml:space="preserve"> Իրավաբանական անձանց պետական ռեգիստրի</w:t>
      </w:r>
      <w:r w:rsidRPr="009517A7">
        <w:rPr>
          <w:rFonts w:ascii="Calibri" w:hAnsi="Calibri" w:cs="Calibri"/>
          <w:lang w:val="hy-AM"/>
        </w:rPr>
        <w:t> </w:t>
      </w:r>
      <w:r w:rsidRPr="009517A7">
        <w:rPr>
          <w:rFonts w:ascii="GHEA Grapalat" w:hAnsi="GHEA Grapalat"/>
          <w:lang w:val="hy-AM"/>
        </w:rPr>
        <w:t xml:space="preserve"> աշխատանքները, որոնք նախատեսվում է ամբողջությամբ ներդնել մինչև 2025 թվականի նոյեմբեր։ Այս համակարգը կապահովի բիզնես ստեղծելու և վարելու հետ կապված բոլոր գործառույթների թվայնացումը։</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Արդարադատության նախարարությունը կղեկավարի կյանքի 12 կարևորագույն իրադարձություններից մեկի՝ «բիզնես սկսելու» գործընթացը, որի շարունակական բարելավումները կիրականացվեն 2026 թվականին։</w:t>
      </w:r>
    </w:p>
    <w:p w:rsidR="000A5C39" w:rsidRPr="009517A7" w:rsidRDefault="000A5C39" w:rsidP="007F793D">
      <w:pPr>
        <w:spacing w:before="120" w:after="120" w:line="276" w:lineRule="auto"/>
        <w:ind w:right="357"/>
        <w:contextualSpacing/>
        <w:jc w:val="both"/>
        <w:rPr>
          <w:rFonts w:ascii="GHEA Grapalat" w:hAnsi="GHEA Grapalat"/>
          <w:lang w:val="hy-AM"/>
        </w:rPr>
      </w:pPr>
      <w:r w:rsidRPr="009517A7">
        <w:rPr>
          <w:rFonts w:ascii="GHEA Grapalat" w:hAnsi="GHEA Grapalat"/>
          <w:lang w:val="hy-AM"/>
        </w:rPr>
        <w:t xml:space="preserve">Հայաստանի Տեղեկատվական համակարգերի գործակալության (ՀՏՀԳ) հետ համատեղ կմշակվի ազգային արխիվի հայեցակարգը և կսկսվի չափորոշիչներին համապատասխանող էլեկտրոնային արխիվային համակարգի նախագծման գործընթացը։ </w:t>
      </w:r>
    </w:p>
    <w:p w:rsidR="000A5C39" w:rsidRPr="009517A7" w:rsidRDefault="000A5C39" w:rsidP="007F793D">
      <w:pPr>
        <w:keepNext/>
        <w:tabs>
          <w:tab w:val="left" w:pos="360"/>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արդիականացնել պաշտոնական կայքերը և այլ համակարգեր՝ «Հենակետ» համակարգին համապատասխանեցնելու նպատակով։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Theme="majorEastAsia" w:hAnsi="GHEA Grapalat" w:cstheme="majorBidi"/>
          <w:bCs/>
          <w:color w:val="44546A" w:themeColor="text2"/>
          <w:lang w:val="hy-AM"/>
        </w:rPr>
      </w:pPr>
    </w:p>
    <w:bookmarkEnd w:id="0"/>
    <w:p w:rsidR="000A5C39" w:rsidRPr="00CA1FA8"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A6A6A6" w:themeColor="background1" w:themeShade="A6"/>
          <w:lang w:val="hy"/>
        </w:rPr>
      </w:pPr>
      <w:r w:rsidRPr="00CA1FA8">
        <w:rPr>
          <w:rFonts w:ascii="GHEA Grapalat" w:eastAsia="GHEA Grapalat" w:hAnsi="GHEA Grapalat" w:cs="GHEA Grapalat"/>
          <w:color w:val="A6A6A6" w:themeColor="background1" w:themeShade="A6"/>
          <w:lang w:val="hy"/>
        </w:rPr>
        <w:t>Հակակոռուպցիոն քաղաքականություն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Հայաստանի Հանրապետության կառավարությունը շարունակելու է իրականացնել հակակոռուպցիոն քաղաքականությունը Հայաստանի Հանրապետության հակակոռուպցիոն ռազմավարության և դրանից բխող 2023-2026 թվականների գործողությունների ծրագրի շրջանակներում, որը Կառավարության կողմից հաստատվել է 2023 թվականի հոկտեմբերի 26-ին։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Cambria Math" w:hAnsi="GHEA Grapalat" w:cs="Cambria Math"/>
          <w:b/>
          <w:color w:val="1C1E21"/>
          <w:lang w:val="hy"/>
        </w:rPr>
      </w:pPr>
      <w:r w:rsidRPr="009517A7">
        <w:rPr>
          <w:rFonts w:ascii="GHEA Grapalat" w:eastAsia="GHEA Grapalat" w:hAnsi="GHEA Grapalat" w:cs="GHEA Grapalat"/>
          <w:color w:val="1C1E21"/>
          <w:lang w:val="hy"/>
        </w:rPr>
        <w:t>Վերոնշյալ ռազմավարության և դրանից բխող գործողությունների ծրագրի շրջանակներում հիմնական թիրախային նպատակները հանգում են հետևյալին</w:t>
      </w:r>
      <w:r w:rsidRPr="009517A7">
        <w:rPr>
          <w:rFonts w:ascii="Cambria Math" w:eastAsia="Cambria Math" w:hAnsi="Cambria Math" w:cs="Cambria Math"/>
          <w:color w:val="1C1E21"/>
          <w:lang w:val="hy"/>
        </w:rPr>
        <w:t>․</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Նախատեսվում է կատարելագործել կոռուպցիայի կանխարգելման և բարեվարքության ամրապնդման մեխանիզմները՝ կոռուպցիայի կանխարգելման և բարեվարքության համակարգի տարրերին առնչվող օրենսդրական դաշտի համապարփակ և միասնական կարգավորումներ ներդնելով։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Պետական  և ՏԻՄ մարմիններում կվերանայվեն էթիկայի հանձնաժողոների գործունեությունը կարգավորող կառուցակարգերը, իսկ վարքագծի կանոնները կհամապատասխանեցվեն ԿԿՀ կողմից ընդունված հանրային ծառայողների տիպային կանոններին։ Բացի այդ, վերոգրյալ մարմիններում կներդրվեն կոռուպցիոն ռիսկերի գնահատման և կառավարման համակարգեր, կներդրվեն իրավական ակտերի նախագծերի հակակոռուպցիոն փորձաքննության նոր մեխանիզմներ: Կուսակցությունների ֆինանսական գործունեության նկատմամբ վերահսկողության մեխանիզմների, նախընտրական քարոզարշավի շրջանակներում ֆինանսական թափանցիկություն և վերահսկողության կառուցակարգերն արդեն իսկ որոշակիորեն բարելավվել են։ Հետագա լավարկումն ապահովելու նպատակով մշակվել են համապատասխան օրենդրական փոփոխությունների նախագծեր։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 xml:space="preserve">Ներդրվել են բարեվարքության ընթացիկ ուսումնասիրության կառուցակարգեր դատավորների, դատախազների և քննչական մարմիններում ինքնավար պաշտոն զբաղեցնող անձանց համար: ԿԿՀ-ի կողմից բարեվարքության ուսումնասիրության համակարգը գրեթե ամբողջացվել է։ Աշխատանքներ են տարվում գործադիր իշխանության մարմիններում ղեկավար պաշտոններ զբաղեցնող անձանց բարեվարքության ուսումնասիրության մեխանիզմներ ներդնելու ուղղությամբ։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lastRenderedPageBreak/>
        <w:t xml:space="preserve">Աշխատանքներ են իրականացվում կոռուպցիայի կանխարգելման ոլորտին առնչվող այլ կառուցակարգերի բարելավման, կոռուպցիայի կանխարգելման ինստիտուցիոնալ մարմինների կարողությունների հզորացման ուղղությամբ: </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Նախատեսվում է ներդնել և կատարելագործել գործարար բարեվարքության, գործարար իրավունքների պաշտպանության կառուցակարգերը, դյուրինացնել պետություն-բիզնես վարչարարությունը։ Նշվածը կապահովվի արդեն իսկ ընդունված Կորպորատիվ կառավարման նոր կանոնագրքի շրջանակներում, պետություն-բիզնես հարաբերություններում գործարարների իրավունքների պաշտպանության համատեքստում Մարդու իրավունքների պաշտպանի իրավասությունների և կարողությունների ընդլայնման, հարկային և մաքսային ոլորտներում հակակոռուպցիոն և բարեվարքության մեխանիզմների կատարելագործման, իրավաբանական անձանց իրական շահառուների բացահայտման ինստիտուտի զարգացման և այլ գործողություններով։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Շարունակաբար հզորացվում են</w:t>
      </w:r>
      <w:r w:rsidR="00521D59">
        <w:rPr>
          <w:rFonts w:ascii="GHEA Grapalat" w:eastAsia="GHEA Grapalat" w:hAnsi="GHEA Grapalat" w:cs="GHEA Grapalat"/>
          <w:color w:val="1C1E21"/>
          <w:lang w:val="hy-AM"/>
        </w:rPr>
        <w:t xml:space="preserve"> </w:t>
      </w:r>
      <w:r w:rsidRPr="009517A7">
        <w:rPr>
          <w:rFonts w:ascii="GHEA Grapalat" w:eastAsia="GHEA Grapalat" w:hAnsi="GHEA Grapalat" w:cs="GHEA Grapalat"/>
          <w:color w:val="1C1E21"/>
          <w:lang w:val="hy"/>
        </w:rPr>
        <w:t>կոռուպցիայի դեմ պայքար մղող իրավապահ մարմինների, հակակոռուպցիոն դատարանների ինստիտուցիոնալ կարողությունները,  աշխատանքներ են տարվում կոռուպցիոն հանցագործությունների արդյունքում ձեռք բերված գույքի, ապօրինի ծագում ունեցող գույքի վերադարձի և կառավարման, իրավաբանական անձանց քրեական պատասխանատվության և ազդարարման կառուցակարգերը կատարելագործելու ուղղությամբ, այդ թվում՝ դրանք միջազգային ստանդարտներին համապատասխանեցնելու միտումով։</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Շարունակական հակակոռուպցիոն կրթություն ապահովելու նպատակով՝  իրականացվում են մանկապարտեզ-դպրոց-բուհ կրթական շղթայում դասավանդողների վերապատրաստման, դասավանդվող առարկայական ծրագրերի վերանայմանն ուղղված աշխատանքները: Հանրության շրջանում հակակոռուպցիոն բարեփոխումների իրազեկվածության բարձրացման, կոռուպցիայի դեմ պայքարում հանրության դերի կարևորման նպատակով իրականացվում է հակակոռուպցիոն հանրային հաղորդակցության և իրազեկման գործողությունների ծրագիրը:</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b/>
          <w:color w:val="1C1E21"/>
          <w:lang w:val="hy"/>
        </w:rPr>
      </w:pPr>
      <w:r w:rsidRPr="009517A7">
        <w:rPr>
          <w:rFonts w:ascii="GHEA Grapalat" w:eastAsia="GHEA Grapalat" w:hAnsi="GHEA Grapalat" w:cs="GHEA Grapalat"/>
          <w:color w:val="1C1E21"/>
          <w:lang w:val="hy"/>
        </w:rPr>
        <w:t>Շարունակվում են հակակոռուպցիոն ռազմավարության իրականացման նկատմամբ մոնիթորինգի և գնահատման ինստիտուտների  կատարելագործման աշխատանքները,  նախատեսվում է թվայնացնել գործընթացները և այլն:</w:t>
      </w:r>
    </w:p>
    <w:p w:rsidR="000A5C39" w:rsidRPr="009517A7"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44546A"/>
          <w:lang w:val="hy"/>
        </w:rPr>
      </w:pPr>
    </w:p>
    <w:p w:rsidR="000A5C39" w:rsidRPr="00CA1FA8" w:rsidRDefault="000A5C39" w:rsidP="007F793D">
      <w:pPr>
        <w:tabs>
          <w:tab w:val="left" w:pos="851"/>
          <w:tab w:val="left" w:pos="993"/>
        </w:tabs>
        <w:spacing w:before="120" w:after="120" w:line="276" w:lineRule="auto"/>
        <w:ind w:right="357"/>
        <w:contextualSpacing/>
        <w:jc w:val="both"/>
        <w:rPr>
          <w:rFonts w:ascii="GHEA Grapalat" w:eastAsia="GHEA Grapalat" w:hAnsi="GHEA Grapalat" w:cs="GHEA Grapalat"/>
          <w:color w:val="A6A6A6" w:themeColor="background1" w:themeShade="A6"/>
          <w:lang w:val="hy"/>
        </w:rPr>
      </w:pPr>
      <w:r w:rsidRPr="00CA1FA8">
        <w:rPr>
          <w:rFonts w:ascii="GHEA Grapalat" w:eastAsia="GHEA Grapalat" w:hAnsi="GHEA Grapalat" w:cs="GHEA Grapalat"/>
          <w:color w:val="A6A6A6" w:themeColor="background1" w:themeShade="A6"/>
          <w:lang w:val="hy"/>
        </w:rPr>
        <w:t>Քրեակատարողական և պրոբացիայի համակարգ</w:t>
      </w:r>
    </w:p>
    <w:p w:rsidR="000A5C39" w:rsidRPr="009517A7" w:rsidRDefault="000A5C39" w:rsidP="007F793D">
      <w:pPr>
        <w:tabs>
          <w:tab w:val="left" w:pos="567"/>
          <w:tab w:val="left" w:pos="851"/>
          <w:tab w:val="left" w:pos="993"/>
        </w:tabs>
        <w:spacing w:before="120" w:after="120" w:line="276" w:lineRule="auto"/>
        <w:ind w:right="357"/>
        <w:contextualSpacing/>
        <w:jc w:val="both"/>
        <w:rPr>
          <w:rFonts w:ascii="GHEA Grapalat" w:eastAsia="GHEA Grapalat" w:hAnsi="GHEA Grapalat" w:cs="GHEA Grapalat"/>
          <w:b/>
          <w:lang w:val="hy"/>
        </w:rPr>
      </w:pPr>
      <w:r w:rsidRPr="009517A7">
        <w:rPr>
          <w:rFonts w:ascii="GHEA Grapalat" w:eastAsia="GHEA Grapalat" w:hAnsi="GHEA Grapalat" w:cs="GHEA Grapalat"/>
          <w:lang w:val="hy"/>
        </w:rPr>
        <w:t>Կառավարությունը շարունակում է վճռական մնալ վերականգնողական արդարադատության սկզբունքների արմատավորման, ինչպես նաև քրեակատարողական համակարգի կայուն զարգացումն ապահովելու հարցում:</w:t>
      </w:r>
    </w:p>
    <w:p w:rsidR="000A5C39" w:rsidRPr="009517A7" w:rsidRDefault="000A5C39" w:rsidP="007F793D">
      <w:pPr>
        <w:tabs>
          <w:tab w:val="left" w:pos="0"/>
          <w:tab w:val="left" w:pos="567"/>
        </w:tabs>
        <w:spacing w:before="120" w:after="120" w:line="276" w:lineRule="auto"/>
        <w:ind w:right="357"/>
        <w:contextualSpacing/>
        <w:jc w:val="both"/>
        <w:rPr>
          <w:rFonts w:ascii="GHEA Grapalat" w:eastAsia="GHEA Grapalat" w:hAnsi="GHEA Grapalat" w:cs="GHEA Grapalat"/>
          <w:b/>
          <w:lang w:val="hy"/>
        </w:rPr>
      </w:pPr>
      <w:r w:rsidRPr="009517A7">
        <w:rPr>
          <w:rFonts w:ascii="GHEA Grapalat" w:eastAsia="GHEA Grapalat" w:hAnsi="GHEA Grapalat" w:cs="GHEA Grapalat"/>
          <w:lang w:val="hy"/>
        </w:rPr>
        <w:t>Այս համատեքստում հիմնական թիրախային ուղղությունները լինելու են.</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 զարգացնել Պրոբացիայի ծառայության կարողությունները և հզորացնել կադրային ներուժը, ինչպես նաև բարելավել սոցիալական երաշխիքները. </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խթանել պրոբացիայի համակարգում էլեկտրոնային կառավարման գործիքների կիրառումը՝ մասնավորապես </w:t>
      </w:r>
      <w:r w:rsidRPr="009517A7">
        <w:rPr>
          <w:rFonts w:ascii="GHEA Grapalat" w:eastAsia="GHEA Grapalat" w:hAnsi="GHEA Grapalat" w:cs="GHEA Grapalat"/>
          <w:lang w:val="hy"/>
        </w:rPr>
        <w:t>շարունակելով ապահովել</w:t>
      </w:r>
      <w:r w:rsidRPr="009517A7">
        <w:rPr>
          <w:rFonts w:ascii="GHEA Grapalat" w:eastAsia="GHEA Grapalat" w:hAnsi="GHEA Grapalat" w:cs="GHEA Grapalat"/>
          <w:color w:val="000000"/>
          <w:lang w:val="hy"/>
        </w:rPr>
        <w:t xml:space="preserve"> E-probation էլեկտրոնային կառավարման համակարգ</w:t>
      </w:r>
      <w:r w:rsidRPr="009517A7">
        <w:rPr>
          <w:rFonts w:ascii="GHEA Grapalat" w:eastAsia="GHEA Grapalat" w:hAnsi="GHEA Grapalat" w:cs="GHEA Grapalat"/>
          <w:lang w:val="hy"/>
        </w:rPr>
        <w:t xml:space="preserve">ի </w:t>
      </w:r>
      <w:r w:rsidRPr="009517A7">
        <w:rPr>
          <w:rFonts w:ascii="GHEA Grapalat" w:eastAsia="GHEA Grapalat" w:hAnsi="GHEA Grapalat" w:cs="GHEA Grapalat"/>
          <w:lang w:val="hy"/>
        </w:rPr>
        <w:lastRenderedPageBreak/>
        <w:t>օգատգործումը, որը կոչված է ապահովել փոխգործելիությունը պետական համակարգի մարմինների միջև՝ դրանով իսկ ապահովելով փաստաթղթաշրջանառության թվայնացումը և աշխատանքի արդյունավետությունը։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ազատությունից զրկելուն այլընտրանք հանդիսացող նոր պատժատեսակների և խափանման միջոցների արդյունավետ կիրառման նպատակով Պրոբացիայի ծառայությանը զինել էլեկտրոնային հսկողության համար անհրաժեշտ միջոցներով ու ենթակառուցվածքներով և, ըստ այդմ, ապահովել իրավակիրառ պրակտիկայում էլեկտրոնային հսկողության փաստացի կիրառումը.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օպտիմալացնել քրեակատարողական հիմնարկները՝ այդ թվում դադարեցնելով որոշների գործունեությունը, և դրա արդյունքներով տնտեսված միջոցներն արդյունավետ բաշխել և ուղղորդել այլ քրեակատարողական հիմնարկներում ազատությունից զրկված անձանց պահման պայմանները բարելավմանը.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ապահովել քրեակատարողական հիմնարկներում գտնվող հաշմանդամություն ունեցող անձանց, անչափահասների, մինչև 3 տարեկան երեխա ունեցող և հղի կանանց համար անհրաժեշտ և մատչելի պայմանները.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ապահովել ազատությունից զրկված անձանց, այդ թվում` անչափահասների կրթություն ստանալու իրավունքի շարունակականությունը, մասնագիտական կրթության նոր ծրագրերի ներդնումը, ինչպես նաև ազատությունից զրկված անձանց համար հանրակրթության իրականացումը՝ անկախ տարիքից.</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 xml:space="preserve"> Ապահովել</w:t>
      </w:r>
      <w:r w:rsidR="00521D59">
        <w:rPr>
          <w:rFonts w:ascii="GHEA Grapalat" w:eastAsia="GHEA Grapalat" w:hAnsi="GHEA Grapalat" w:cs="GHEA Grapalat"/>
          <w:color w:val="000000"/>
          <w:lang w:val="hy-AM"/>
        </w:rPr>
        <w:t xml:space="preserve"> </w:t>
      </w:r>
      <w:r w:rsidRPr="009517A7">
        <w:rPr>
          <w:rFonts w:ascii="GHEA Grapalat" w:eastAsia="GHEA Grapalat" w:hAnsi="GHEA Grapalat" w:cs="GHEA Grapalat"/>
          <w:color w:val="000000"/>
          <w:lang w:val="hy"/>
        </w:rPr>
        <w:t>քրեակատարողական հիմնարկներում ինքնասպանության և ինքնավնասման ռիսկի վերհանման և գնահատման, ինչպես նաև հոգեկան առողջության զննության և ռիսկի գնահատման կիրառվող գործիքակազմ</w:t>
      </w:r>
      <w:r w:rsidRPr="009517A7">
        <w:rPr>
          <w:rFonts w:ascii="GHEA Grapalat" w:eastAsia="GHEA Grapalat" w:hAnsi="GHEA Grapalat" w:cs="GHEA Grapalat"/>
          <w:lang w:val="hy"/>
        </w:rPr>
        <w:t>ի բարելավումը</w:t>
      </w:r>
      <w:r w:rsidRPr="009517A7">
        <w:rPr>
          <w:rFonts w:ascii="GHEA Grapalat" w:eastAsia="GHEA Grapalat" w:hAnsi="GHEA Grapalat" w:cs="GHEA Grapalat"/>
          <w:color w:val="000000"/>
          <w:lang w:val="hy"/>
        </w:rPr>
        <w:t>՝ նախականխելով ինքնասպանության և ինքնավնասման հետագա դեպքերի առաջացումը, ինչպես նաև նախապես բացահայտելով հոգեկան առողջության վիճակի հնարավոր խնդիրը.</w:t>
      </w:r>
    </w:p>
    <w:p w:rsidR="000A5C39" w:rsidRPr="009517A7" w:rsidRDefault="000A5C39" w:rsidP="007F793D">
      <w:pPr>
        <w:numPr>
          <w:ilvl w:val="0"/>
          <w:numId w:val="3"/>
        </w:numPr>
        <w:tabs>
          <w:tab w:val="left" w:pos="567"/>
        </w:tabs>
        <w:spacing w:before="120" w:after="120" w:line="276" w:lineRule="auto"/>
        <w:ind w:left="0" w:right="357" w:firstLine="0"/>
        <w:contextualSpacing/>
        <w:jc w:val="both"/>
        <w:rPr>
          <w:rFonts w:ascii="GHEA Grapalat" w:eastAsia="GHEA Grapalat" w:hAnsi="GHEA Grapalat" w:cs="GHEA Grapalat"/>
          <w:b/>
          <w:color w:val="000000"/>
          <w:lang w:val="hy"/>
        </w:rPr>
      </w:pPr>
      <w:r w:rsidRPr="009517A7">
        <w:rPr>
          <w:rFonts w:ascii="GHEA Grapalat" w:eastAsia="GHEA Grapalat" w:hAnsi="GHEA Grapalat" w:cs="GHEA Grapalat"/>
          <w:color w:val="000000"/>
          <w:lang w:val="hy"/>
        </w:rPr>
        <w:t>բարելավել քրեակատարողական ծառայողների սոցիալական երաշխիքները, ինչպես նաև նպաստել քրեակատարողական ծառայողի նոր կերպարի ձևավորմանը.</w:t>
      </w:r>
    </w:p>
    <w:p w:rsidR="000A5C39" w:rsidRPr="009517A7" w:rsidRDefault="000A5C39" w:rsidP="007F793D">
      <w:pPr>
        <w:spacing w:before="120" w:after="120" w:line="276" w:lineRule="auto"/>
        <w:ind w:right="357"/>
        <w:contextualSpacing/>
        <w:jc w:val="both"/>
        <w:rPr>
          <w:rFonts w:ascii="GHEA Grapalat" w:eastAsiaTheme="majorEastAsia" w:hAnsi="GHEA Grapalat" w:cstheme="majorBidi"/>
          <w:bCs/>
          <w:color w:val="44546A" w:themeColor="text2"/>
          <w:lang w:val="hy"/>
        </w:rPr>
      </w:pPr>
    </w:p>
    <w:p w:rsidR="000A5C39" w:rsidRPr="00CA1FA8" w:rsidRDefault="000A5C39" w:rsidP="007F793D">
      <w:pPr>
        <w:spacing w:before="120" w:after="120" w:line="276" w:lineRule="auto"/>
        <w:ind w:right="357"/>
        <w:contextualSpacing/>
        <w:jc w:val="both"/>
        <w:rPr>
          <w:rFonts w:ascii="GHEA Grapalat" w:hAnsi="GHEA Grapalat" w:cs="Calibri"/>
          <w:b/>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Մարդու իրավունքների պաշտպանություն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Արդարադատության նախարարությունը շարունակելու է իրականացնել ոլորտի բարեփոխումները Մարդու իրավունքների պաշտպանության ազգային ռազմավարությունից բխող 2023-2025թթ. գործողությունների ծրագրով (այսուհետ՝ Ծրագիր)  նախատեսված գործողությունների համատեքստում: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Ծրագրով տարաբնույթ գործողություններ են նախատեսված մի շարք ուղղություններով, այդ թվում՝ օրենսդրության մշակման, լավարկման, իրազեկման աշխատանքներ և վերապատրաստումներ իրականացնելու ուղղությամբ։</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Պլանավորվում է ապահովել «Իրավահավասարության ապահովման և խտրականությունից պաշտպանության մասին» և «Ազգային փոքրամասնությունների մասին» օրենքների նախագծերի ընդունումը և այդ ոլորտում իրազեկման աշխատանքների իրականացումը։</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lastRenderedPageBreak/>
        <w:t>Միաժամանակ, Ծրագրից զատ՝ Արդարադատության նախարարության կողմից մշակվել է խտրականությունից պաշտպանության և ատելության խոսքի դեմ պայքարի ոլորտում առանձին ռազմավարական փաստաթուղթ: Փաստաթղթի նախագծով հասցեագրվում են 4 ռազմավարական նպատակ, նախատեսված են 30-ից ավելի գործողություն: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Ծրագրով մի շարք գործողություններ են նախատեսված ուղղված խոշտանգումից տուժած անձանց հոգեբանական աջակցության տրամադրման կառուցակարգերի ներդրմանը, պետական տուրքի արտոնության նոր տեսակի սահմանմանը, հասարակական կազմակերպությունների համար կոլոկտիվ շահի պաշտպանությանն ուղղված դատարան դիմելու իրավունքի նախատեսմանը, մասնավոր հարաբերություններում ֆիզիկական անձի դեմ ոչ նյութական վնասի հատուցման պահանջ ներկայացնելու ընթացակարգի հնարավորության նախատեսմանը, քաղաքացու, նրա ընտանիքի անդամների՝ հոգեբուժական հիվանդանոցային ոչ հոժարակամ բուժման ենթարկելու վճիռը վերացնելու պահանջով դատարան դիմելու իրավունքի նախատեսմանը, անգործունակ ճանաչված անձանց՝ դատարանի մատչելիության իրավունքին առնչվող կարգավորումների վերանայմանը, հանրության գերակա շահերի ապահովման նպատակով սեփականության օտարմանն ուղղված կարգավորումների լրամշակմանը, «դատավորի ընկեր» (amicus curie) հասկացության կառուցակարգերի՝ ներպետական իրավական համակարգում ներդրմանը, պատժից պայմանական վաղաժամկետ ազատելու կամ պատժի չկրած մասն ավելի մեղմ պատժատեսակով փոխարինելու համակարգի վերանայմանը, «ատելության խոսք» հասկացության օրենսդրորեն ամրագրմանը, անհայտ կորած անձանց առնչությամբ համապարփակ օրենիք ընդունմանը, որոնց համար լրացուցիչ ֆինանսավորում չի պահանջվում:</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նաև պարբերաբար վերապատրաստումներ իրականացնել Արդարադատության ակադեմիայում դատավորների և դատավորների թեկնածուների ցուցակում ընդգրկված անձանց, քրեակատարողական ծառայության աշխատակիցների համար, վերանորեգել քրեակատարողական հիմնակների խցերը, իրականացնել պրոբացիայի շահառուներին և ազատությունից զրկելու հետ կապված պատիժ կրած անձանց վերաինտեգրմանն ուղղված աշխատանքներ և այլն:</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Նախաձեռնվել են նաև նոր ռազմավարության և հաջորդող տարիների համար գործողությունների ծրագրի մշակմանն ուղղված նախնական աշխատանքներ: </w:t>
      </w:r>
    </w:p>
    <w:p w:rsidR="00B32FF0" w:rsidRPr="004B2209"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Հաջորդ տարեսկզբին կմեկնարկեն նոր ռազմավարության ու դրանից բխող գործողությունների ծրագրի մշակման գործընթացը։ </w:t>
      </w:r>
    </w:p>
    <w:p w:rsidR="000A5C39" w:rsidRPr="00CA1FA8" w:rsidRDefault="000A5C39" w:rsidP="007F793D">
      <w:pPr>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Քաղաքացիական կացության ակտերի գրանցում</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Նախատեսվում է ՔԿԱԳ էլեկտրոնային համակարգի /e-civil/ արդիականացում, մասնավորապես քաղաքացիական կացության ակտերի պետական գրանցման կամ ՔԿԱԳ  այլ գործառույթ կատարելու նպատակով՝ էլեկտրոնային դիմում ներկայացնելու համար էլեկտրոնային /www.e-services.moj.am/ հարթակի միջոցով մատուցվող ծառայությունների շրջանակի ավելացում: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Էլեկտրոնային հարթակով մատուցվող ծառայությունների շրջանակի ավելացմամբ  կբարելավվի ՔԿԱԳ ոլորտում ծառայություններ մատուցող կառույցների և դիմումատուների միջև անմիջական անխափան կապի հնարավորությունը, արդյունքում նշված ոլորտում ծառայությունների մատուցման որակը էականորեն կբարելավվի:</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Միաժամանակ նախատեսվում է շարունակել ՔԿԱԳ փաստաթղթային արխիվի թվայնացմանն ուղղված աշխատանքները:  </w:t>
      </w:r>
    </w:p>
    <w:p w:rsidR="000A5C39" w:rsidRPr="009517A7" w:rsidRDefault="000A5C39" w:rsidP="007F793D">
      <w:pPr>
        <w:spacing w:before="120" w:after="120" w:line="276" w:lineRule="auto"/>
        <w:ind w:right="357"/>
        <w:contextualSpacing/>
        <w:jc w:val="both"/>
        <w:rPr>
          <w:rFonts w:ascii="GHEA Grapalat" w:eastAsiaTheme="majorEastAsia" w:hAnsi="GHEA Grapalat" w:cstheme="majorBidi"/>
          <w:bCs/>
          <w:color w:val="44546A" w:themeColor="text2"/>
          <w:lang w:val="hy-AM"/>
        </w:rPr>
      </w:pPr>
      <w:r w:rsidRPr="00CA1FA8">
        <w:rPr>
          <w:rFonts w:ascii="GHEA Grapalat" w:eastAsiaTheme="majorEastAsia" w:hAnsi="GHEA Grapalat" w:cstheme="majorBidi"/>
          <w:bCs/>
          <w:color w:val="A6A6A6" w:themeColor="background1" w:themeShade="A6"/>
          <w:lang w:val="hy-AM"/>
        </w:rPr>
        <w:t>Իրավաբանական անձանց պետական գրանցման ռեգիստր</w:t>
      </w:r>
      <w:r w:rsidRPr="009517A7">
        <w:rPr>
          <w:rFonts w:ascii="GHEA Grapalat" w:eastAsiaTheme="majorEastAsia" w:hAnsi="GHEA Grapalat" w:cstheme="majorBidi"/>
          <w:bCs/>
          <w:color w:val="44546A" w:themeColor="text2"/>
          <w:lang w:val="hy-AM"/>
        </w:rPr>
        <w:t xml:space="preserve">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Նախատեսվում է ԱՆ իրավաբանական անձանց պետական ռեգիստրի գործակալության նոր տեղեկատվական համակարգի ներդրմանն ուղղված աշխատանքների իրականացում,  առցանց իրականացվող պետական գրանցման/հաշվառման գործընթացների ընդլայնում, պետական գրանցում/հաշվառում ստացած արխիվային գործերի թվայնացմանն ուղղված աշխատանքների շարունակականության ապահովում,  տարբեր համակարգերի և տվյալների շտեմարանների միջև փոխգործելիության շարունակականության ապահովում, Վարչական իրավախախտումների վերաբերյալ օրենսգրքով սահմանված վարույթների թափանցիկ և արդյունավետ իրականացմանն ուղղված օրենսդրական փոփոխությունների ապահովում, վիճակագրության և հաշվետվությունների թափանցիկության ապահովմանն ուղղված ծրագրերի շարունակականության ապահովում։</w:t>
      </w:r>
    </w:p>
    <w:p w:rsidR="000A5C39" w:rsidRPr="00CA1FA8" w:rsidRDefault="000A5C39" w:rsidP="007F793D">
      <w:pPr>
        <w:tabs>
          <w:tab w:val="num" w:pos="0"/>
          <w:tab w:val="left" w:pos="851"/>
          <w:tab w:val="left" w:pos="993"/>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eastAsiaTheme="majorEastAsia" w:hAnsi="GHEA Grapalat" w:cstheme="majorBidi"/>
          <w:bCs/>
          <w:color w:val="A6A6A6" w:themeColor="background1" w:themeShade="A6"/>
          <w:lang w:val="hy-AM"/>
        </w:rPr>
        <w:t xml:space="preserve">Անձնական տվյալների պաշտպանություն </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«Անձնական տվյալների պաշտպանության մասին» օրենքով են կարգավորվում անձնական տվյալների մշակման և պաշտպանությանն առնչվող հարաբերությունները, իսկ լիազոր մարմինն է Անձնական տվյալների պաշտպանության գործակալություն, որը, լինելով Արդարադատության նախարարության կազմում, պահպանում է գործառութային անկախությունն ու ինքնավարությունը: Այնուամենայնիվ, անձնական տվյալների պաշտպանության գործիքակազմերի և լիազոր մարմնի կարգավիճակի հետագա բարեփոխումը գտնվում է Արդարադատության նախարարության առաջնահերթություններում, այն նաև ՀՀ-ԵՄ վիզաների ազատականացման երկխոսության գործողությունների ծրագրի հիմնական բաղադրիչներից մեկն է։</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Ուստի՝ Արդարադատության նախարարության կողմից մշակվել է հայեցակարգ՝ ուղղված անձնական տվյալների պաշտպանության ներպետական օրենսդրության համապատասխանեցմանը միջազգային չափանիշներին և նոր լիազոր մարմնի ստեղծմանը, որն օժտված կլինի անկախության համապատասխան երաշխիքներով:</w:t>
      </w:r>
    </w:p>
    <w:p w:rsidR="000A5C39" w:rsidRPr="009517A7"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Հայեցակարգի համաձայն՝ ընտրվել է անձնական տվյալների պաշտպանության լիազոր մարմնի գործառույթների պատշաճ իրականացման և անկախության ապահովման պահանջներին համապատասխանող՝ ՀՀ Սահմանադրությամբ նախատեսված՝ ինքնավար մարմնի կարգավիճակը: Ըստ այդմ՝ հայեցակարգով առաջարկվում է սահմանել կոլեգիալ ղեկավարում՝ հանձնաժողովի կազմով՝ բաղկացած 3 անդամից, ներառյալ՝ նախագահը: Ընդ որում՝ հանձնաժողովին նախատեսվում է վերապահել ինչպես վարույթներ իրականացնելու, կարգապահական պատասխանատվության ենթարկելու, այնպես էլ խորհրդատվություն տրամադրելու լիազորություններ:</w:t>
      </w:r>
    </w:p>
    <w:p w:rsidR="000A5C39" w:rsidRPr="004B2209" w:rsidRDefault="000A5C39" w:rsidP="007F793D">
      <w:pPr>
        <w:tabs>
          <w:tab w:val="num" w:pos="0"/>
          <w:tab w:val="left" w:pos="851"/>
          <w:tab w:val="left" w:pos="993"/>
        </w:tabs>
        <w:spacing w:before="120" w:after="120" w:line="276" w:lineRule="auto"/>
        <w:ind w:right="357"/>
        <w:contextualSpacing/>
        <w:jc w:val="both"/>
        <w:rPr>
          <w:rFonts w:ascii="GHEA Grapalat" w:hAnsi="GHEA Grapalat"/>
          <w:b/>
          <w:lang w:val="hy-AM"/>
        </w:rPr>
      </w:pPr>
      <w:r w:rsidRPr="009517A7">
        <w:rPr>
          <w:rFonts w:ascii="GHEA Grapalat" w:hAnsi="GHEA Grapalat"/>
          <w:lang w:val="hy-AM"/>
        </w:rPr>
        <w:t>Նոր հանձնաժողովի ստեղծմանն ուղղված իրավական ակտերի մշակման գործընթացը մեկնարկել է, ակնկալվում է նախագծերը վերջնականացնել մինչև տարեվերջ։</w:t>
      </w:r>
    </w:p>
    <w:p w:rsidR="000A5C39" w:rsidRPr="00CA1FA8" w:rsidRDefault="000A5C39" w:rsidP="007F793D">
      <w:pPr>
        <w:tabs>
          <w:tab w:val="num" w:pos="0"/>
          <w:tab w:val="left" w:pos="851"/>
          <w:tab w:val="left" w:pos="993"/>
        </w:tabs>
        <w:spacing w:before="120" w:after="120" w:line="276" w:lineRule="auto"/>
        <w:ind w:right="357"/>
        <w:contextualSpacing/>
        <w:jc w:val="both"/>
        <w:rPr>
          <w:rFonts w:ascii="GHEA Grapalat" w:eastAsiaTheme="majorEastAsia" w:hAnsi="GHEA Grapalat" w:cstheme="majorBidi"/>
          <w:bCs/>
          <w:color w:val="A6A6A6" w:themeColor="background1" w:themeShade="A6"/>
          <w:lang w:val="hy-AM"/>
        </w:rPr>
      </w:pPr>
      <w:r w:rsidRPr="00CA1FA8">
        <w:rPr>
          <w:rFonts w:ascii="GHEA Grapalat" w:hAnsi="GHEA Grapalat"/>
          <w:bCs/>
          <w:color w:val="A6A6A6" w:themeColor="background1" w:themeShade="A6"/>
          <w:lang w:val="hy-AM"/>
        </w:rPr>
        <w:t>Ի</w:t>
      </w:r>
      <w:r w:rsidRPr="00CA1FA8">
        <w:rPr>
          <w:rFonts w:ascii="GHEA Grapalat" w:eastAsiaTheme="majorEastAsia" w:hAnsi="GHEA Grapalat" w:cstheme="majorBidi"/>
          <w:bCs/>
          <w:color w:val="A6A6A6" w:themeColor="background1" w:themeShade="A6"/>
          <w:lang w:val="hy-AM"/>
        </w:rPr>
        <w:t xml:space="preserve">րավական փոխօգնություն </w:t>
      </w:r>
    </w:p>
    <w:p w:rsidR="000A5C39" w:rsidRPr="009517A7" w:rsidRDefault="000A5C39" w:rsidP="007F793D">
      <w:pPr>
        <w:spacing w:before="120" w:after="120" w:line="276" w:lineRule="auto"/>
        <w:ind w:right="357"/>
        <w:contextualSpacing/>
        <w:jc w:val="both"/>
        <w:rPr>
          <w:rFonts w:ascii="GHEA Grapalat" w:hAnsi="GHEA Grapalat"/>
          <w:b/>
          <w:lang w:val="hy-AM"/>
        </w:rPr>
      </w:pPr>
      <w:r w:rsidRPr="009517A7">
        <w:rPr>
          <w:rFonts w:ascii="GHEA Grapalat" w:hAnsi="GHEA Grapalat"/>
          <w:lang w:val="hy-AM"/>
        </w:rPr>
        <w:t xml:space="preserve">2024 թվականի դեկտեմբերի 12-ից  գործում  է «Քրեական վարույթներով իրավական փոխօգնության մասին» Հայաստանի Հանրապետության օրենքը, որի լավագույնս կիրարկման նպատակով կիրականացվեն շարունակական ուսումնասիրություններ: Բացի այդ, իրավական փոխօգնության շրջանակներում նախատեսվում է հանձնման և դատապարտյալների փոխանցման ոլորտներում միջազգային երկկողմ և բազմակողմ պայմանագրերի մշակման աշխատանքներ՝ խթան հանդիսանալով միջազգային համագործակցության զարգացման և խորացման համար: Նախատեսվում է նաև պատժից պայմանական ազատված անձանց հսկողություն իրականացնելու նպատակով տեղափոխման վերաբերյալ միջազգային պայմանագրի մշակման նպատակով միջազգային լավագույն փորձի ուսումնասիրման աշխատանքներ, ինչպես նաև իրավական օգնության ոլորտում օտարերկրյա կենտրոնական և իրավասու մարմինների միջև հաղորդակցության կատարելագործման նպատակով էլեկտրոնային հաղորդակցության ուղիների մշակման և ներդրման աշխատանքներ, ինչի արդյունքում իրավական օգնության կատարումը կդառնա ավելի արագ ու արդյունավետ, իսկ համագործակցության աշխարհագրությունն՝ առավել ընդլայնված ու խորացված: Բացի այդ շարունակական բնույթ կկրեն Իրավական փոխօգնության վարչության աշխատակիցների կարողությունների զարգացմանն ուղղված ծրագրերի իրականացումը՝ առավել պրոֆեսիոնալ ու որակյալ դարձնելով Վարչության առջև դրված գործառույթների իրականացումը: </w:t>
      </w:r>
    </w:p>
    <w:p w:rsidR="00163B24" w:rsidRPr="000A5C39" w:rsidRDefault="00163B24" w:rsidP="00652A17">
      <w:pPr>
        <w:pStyle w:val="ListParagraph"/>
        <w:spacing w:before="120" w:after="120" w:line="276" w:lineRule="auto"/>
        <w:ind w:left="0" w:right="360"/>
        <w:jc w:val="both"/>
        <w:rPr>
          <w:rFonts w:ascii="GHEA Grapalat" w:hAnsi="GHEA Grapalat"/>
          <w:sz w:val="24"/>
          <w:szCs w:val="24"/>
          <w:lang w:val="hy-AM"/>
        </w:rPr>
      </w:pPr>
    </w:p>
    <w:p w:rsidR="004F6E3C" w:rsidRPr="00CA1FA8" w:rsidRDefault="004F6E3C" w:rsidP="00652A17">
      <w:pPr>
        <w:pStyle w:val="ListParagraph"/>
        <w:numPr>
          <w:ilvl w:val="2"/>
          <w:numId w:val="5"/>
        </w:numPr>
        <w:ind w:right="360"/>
        <w:rPr>
          <w:rFonts w:ascii="GHEA Grapalat" w:hAnsi="GHEA Grapalat"/>
          <w:b/>
          <w:sz w:val="24"/>
          <w:szCs w:val="24"/>
          <w:lang w:val="hy-AM"/>
        </w:rPr>
      </w:pPr>
      <w:r w:rsidRPr="00CA1FA8">
        <w:rPr>
          <w:rFonts w:ascii="GHEA Grapalat" w:hAnsi="GHEA Grapalat"/>
          <w:b/>
          <w:sz w:val="24"/>
          <w:szCs w:val="24"/>
          <w:lang w:val="hy-AM"/>
        </w:rPr>
        <w:t>Պետական տուրքեր և այլ եկամուտներ</w:t>
      </w:r>
    </w:p>
    <w:p w:rsidR="004F6E3C" w:rsidRPr="00B32FF0" w:rsidRDefault="004F6E3C" w:rsidP="00652A17">
      <w:pPr>
        <w:pStyle w:val="Caption"/>
        <w:keepNext/>
        <w:tabs>
          <w:tab w:val="left" w:pos="1276"/>
        </w:tabs>
        <w:spacing w:before="0" w:after="0" w:line="276" w:lineRule="auto"/>
        <w:ind w:right="360"/>
        <w:jc w:val="left"/>
        <w:rPr>
          <w:rFonts w:ascii="GHEA Grapalat" w:hAnsi="GHEA Grapalat"/>
          <w:sz w:val="18"/>
          <w:szCs w:val="18"/>
          <w:lang w:val="hy-AM"/>
        </w:rPr>
      </w:pPr>
      <w:r w:rsidRPr="00B32FF0">
        <w:rPr>
          <w:rFonts w:ascii="GHEA Grapalat" w:hAnsi="GHEA Grapalat"/>
          <w:sz w:val="18"/>
          <w:szCs w:val="18"/>
          <w:lang w:val="hy-AM"/>
        </w:rPr>
        <w:t>Աղյուսակ</w:t>
      </w:r>
      <w:r w:rsidR="00AC2B73" w:rsidRPr="00B32FF0">
        <w:rPr>
          <w:rFonts w:ascii="GHEA Grapalat" w:hAnsi="GHEA Grapalat"/>
          <w:sz w:val="18"/>
          <w:szCs w:val="18"/>
          <w:lang w:val="hy-AM"/>
        </w:rPr>
        <w:t xml:space="preserve"> 1</w:t>
      </w:r>
      <w:r w:rsidR="00BE4963" w:rsidRPr="00B32FF0">
        <w:rPr>
          <w:rFonts w:ascii="GHEA Grapalat" w:hAnsi="GHEA Grapalat"/>
          <w:sz w:val="18"/>
          <w:szCs w:val="18"/>
          <w:lang w:val="hy-AM"/>
        </w:rPr>
        <w:t xml:space="preserve">. </w:t>
      </w:r>
      <w:r w:rsidRPr="00B32FF0">
        <w:rPr>
          <w:rFonts w:ascii="GHEA Grapalat" w:hAnsi="GHEA Grapalat"/>
          <w:sz w:val="18"/>
          <w:szCs w:val="18"/>
          <w:lang w:val="hy-AM"/>
        </w:rPr>
        <w:t>ՀՀ արդարադատության նախարարության և նրան ենթակա պետական մարմինների կողմից</w:t>
      </w:r>
      <w:r w:rsidR="00BE4963" w:rsidRPr="00B32FF0">
        <w:rPr>
          <w:rFonts w:ascii="GHEA Grapalat" w:hAnsi="GHEA Grapalat"/>
          <w:sz w:val="18"/>
          <w:szCs w:val="18"/>
          <w:lang w:val="hy-AM"/>
        </w:rPr>
        <w:t xml:space="preserve"> գանձված և</w:t>
      </w:r>
      <w:r w:rsidRPr="00B32FF0">
        <w:rPr>
          <w:rFonts w:ascii="GHEA Grapalat" w:hAnsi="GHEA Grapalat"/>
          <w:sz w:val="18"/>
          <w:szCs w:val="18"/>
          <w:lang w:val="hy-AM"/>
        </w:rPr>
        <w:t xml:space="preserve"> գանձվելիք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268"/>
        <w:gridCol w:w="2126"/>
      </w:tblGrid>
      <w:tr w:rsidR="006F35B5" w:rsidRPr="00B32FF0" w:rsidTr="00FD4E5E">
        <w:tc>
          <w:tcPr>
            <w:tcW w:w="3402" w:type="dxa"/>
            <w:shd w:val="clear" w:color="auto" w:fill="DEEAF6" w:themeFill="accent1" w:themeFillTint="33"/>
          </w:tcPr>
          <w:p w:rsidR="006F35B5" w:rsidRPr="00B32FF0" w:rsidRDefault="006F35B5" w:rsidP="00652A17">
            <w:pPr>
              <w:pStyle w:val="ListParagraph"/>
              <w:spacing w:line="276" w:lineRule="auto"/>
              <w:ind w:left="0" w:right="360"/>
              <w:rPr>
                <w:rFonts w:ascii="GHEA Grapalat" w:hAnsi="GHEA Grapalat" w:cs="Calibri"/>
                <w:color w:val="000000"/>
                <w:sz w:val="18"/>
                <w:szCs w:val="18"/>
                <w:lang w:val="hy-AM"/>
              </w:rPr>
            </w:pPr>
          </w:p>
        </w:tc>
        <w:tc>
          <w:tcPr>
            <w:tcW w:w="2410"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2024թ փաստ</w:t>
            </w:r>
          </w:p>
        </w:tc>
        <w:tc>
          <w:tcPr>
            <w:tcW w:w="2268"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2025թ բյուջե</w:t>
            </w:r>
          </w:p>
        </w:tc>
        <w:tc>
          <w:tcPr>
            <w:tcW w:w="2126" w:type="dxa"/>
            <w:shd w:val="clear" w:color="auto" w:fill="DEEAF6" w:themeFill="accent1" w:themeFillTint="33"/>
            <w:vAlign w:val="center"/>
          </w:tcPr>
          <w:p w:rsidR="006F35B5" w:rsidRPr="00B32FF0" w:rsidRDefault="006F35B5" w:rsidP="00652A17">
            <w:pPr>
              <w:ind w:right="360"/>
              <w:jc w:val="center"/>
              <w:rPr>
                <w:rFonts w:ascii="GHEA Grapalat" w:hAnsi="GHEA Grapalat" w:cs="Sylfaen"/>
                <w:iCs/>
                <w:sz w:val="18"/>
                <w:szCs w:val="18"/>
                <w:lang w:val="hy-AM"/>
              </w:rPr>
            </w:pPr>
            <w:r w:rsidRPr="00B32FF0">
              <w:rPr>
                <w:rFonts w:ascii="GHEA Grapalat" w:hAnsi="GHEA Grapalat" w:cs="Sylfaen"/>
                <w:iCs/>
                <w:sz w:val="18"/>
                <w:szCs w:val="18"/>
                <w:lang w:val="hy-AM"/>
              </w:rPr>
              <w:t>2026թ ծրագիր</w:t>
            </w:r>
          </w:p>
        </w:tc>
      </w:tr>
      <w:tr w:rsidR="006F35B5" w:rsidRPr="00B32FF0" w:rsidTr="00FD4E5E">
        <w:trPr>
          <w:trHeight w:val="337"/>
        </w:trPr>
        <w:tc>
          <w:tcPr>
            <w:tcW w:w="3402" w:type="dxa"/>
            <w:vAlign w:val="center"/>
          </w:tcPr>
          <w:p w:rsidR="006F35B5" w:rsidRPr="00B32FF0" w:rsidRDefault="006F35B5" w:rsidP="00652A17">
            <w:pPr>
              <w:pStyle w:val="ListParagraph"/>
              <w:spacing w:line="276" w:lineRule="auto"/>
              <w:ind w:left="0" w:right="360"/>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Պետական տուրքեր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879.1 </w:t>
            </w:r>
          </w:p>
        </w:tc>
        <w:tc>
          <w:tcPr>
            <w:tcW w:w="2268"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793.0 </w:t>
            </w:r>
          </w:p>
        </w:tc>
        <w:tc>
          <w:tcPr>
            <w:tcW w:w="2126"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850.7 </w:t>
            </w:r>
          </w:p>
        </w:tc>
      </w:tr>
      <w:tr w:rsidR="006F35B5" w:rsidRPr="00B32FF0" w:rsidTr="00FD4E5E">
        <w:trPr>
          <w:trHeight w:val="413"/>
        </w:trPr>
        <w:tc>
          <w:tcPr>
            <w:tcW w:w="3402" w:type="dxa"/>
            <w:vAlign w:val="center"/>
          </w:tcPr>
          <w:p w:rsidR="006F35B5" w:rsidRPr="00B32FF0" w:rsidRDefault="006F35B5" w:rsidP="00652A17">
            <w:pPr>
              <w:pStyle w:val="ListParagraph"/>
              <w:spacing w:line="276" w:lineRule="auto"/>
              <w:ind w:left="0" w:right="360"/>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Այլ եկամուտներ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6,653.2 </w:t>
            </w:r>
          </w:p>
        </w:tc>
        <w:tc>
          <w:tcPr>
            <w:tcW w:w="2268"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6,267.8 </w:t>
            </w:r>
          </w:p>
        </w:tc>
        <w:tc>
          <w:tcPr>
            <w:tcW w:w="2126" w:type="dxa"/>
            <w:tcBorders>
              <w:top w:val="single" w:sz="4" w:space="0" w:color="auto"/>
              <w:left w:val="nil"/>
              <w:bottom w:val="single" w:sz="4" w:space="0" w:color="auto"/>
              <w:right w:val="single" w:sz="4" w:space="0" w:color="auto"/>
            </w:tcBorders>
            <w:shd w:val="clear" w:color="auto" w:fill="auto"/>
            <w:vAlign w:val="center"/>
          </w:tcPr>
          <w:p w:rsidR="006F35B5" w:rsidRPr="00B32FF0" w:rsidRDefault="006F35B5" w:rsidP="00652A17">
            <w:pPr>
              <w:ind w:right="360"/>
              <w:jc w:val="right"/>
              <w:rPr>
                <w:rFonts w:ascii="GHEA Grapalat" w:eastAsia="Calibri" w:hAnsi="GHEA Grapalat" w:cs="Calibri"/>
                <w:color w:val="000000"/>
                <w:sz w:val="18"/>
                <w:szCs w:val="18"/>
                <w:lang w:val="hy-AM"/>
              </w:rPr>
            </w:pPr>
            <w:r w:rsidRPr="00B32FF0">
              <w:rPr>
                <w:rFonts w:ascii="GHEA Grapalat" w:eastAsia="Calibri" w:hAnsi="GHEA Grapalat" w:cs="Calibri"/>
                <w:color w:val="000000"/>
                <w:sz w:val="18"/>
                <w:szCs w:val="18"/>
                <w:lang w:val="hy-AM"/>
              </w:rPr>
              <w:t xml:space="preserve">7,592.2 </w:t>
            </w:r>
          </w:p>
        </w:tc>
      </w:tr>
    </w:tbl>
    <w:p w:rsidR="004F6E3C" w:rsidRPr="000A5C39" w:rsidRDefault="004F6E3C" w:rsidP="00652A17">
      <w:pPr>
        <w:pStyle w:val="ListParagraph"/>
        <w:ind w:left="0" w:right="360"/>
        <w:rPr>
          <w:rFonts w:ascii="GHEA Grapalat" w:hAnsi="GHEA Grapalat"/>
          <w:sz w:val="24"/>
          <w:szCs w:val="24"/>
          <w:lang w:val="hy-AM"/>
        </w:rPr>
      </w:pPr>
    </w:p>
    <w:p w:rsidR="00163B24" w:rsidRPr="00CA1FA8" w:rsidRDefault="00BD66F6" w:rsidP="00652A17">
      <w:pPr>
        <w:pStyle w:val="ListParagraph"/>
        <w:numPr>
          <w:ilvl w:val="2"/>
          <w:numId w:val="5"/>
        </w:numPr>
        <w:ind w:right="360"/>
        <w:rPr>
          <w:rFonts w:ascii="GHEA Grapalat" w:hAnsi="GHEA Grapalat"/>
          <w:b/>
          <w:sz w:val="24"/>
          <w:szCs w:val="24"/>
          <w:lang w:val="hy-AM"/>
        </w:rPr>
      </w:pPr>
      <w:r w:rsidRPr="00CA1FA8">
        <w:rPr>
          <w:rFonts w:ascii="GHEA Grapalat" w:hAnsi="GHEA Grapalat"/>
          <w:b/>
          <w:sz w:val="24"/>
          <w:szCs w:val="24"/>
          <w:lang w:val="hy-AM"/>
        </w:rPr>
        <w:t>Ոլորտային ծախսերը ըստ բյուջետային գլխավոր կարգադրիչի</w:t>
      </w:r>
    </w:p>
    <w:p w:rsidR="005450BA" w:rsidRDefault="005450BA" w:rsidP="00652A17">
      <w:pPr>
        <w:pStyle w:val="NormalWeb"/>
        <w:ind w:right="360"/>
      </w:pPr>
      <w:r>
        <w:rPr>
          <w:noProof/>
        </w:rPr>
        <w:drawing>
          <wp:inline distT="0" distB="0" distL="0" distR="0" wp14:anchorId="2DAAD512" wp14:editId="3530C46A">
            <wp:extent cx="6724650" cy="3362955"/>
            <wp:effectExtent l="0" t="0" r="0" b="9525"/>
            <wp:docPr id="2" name="Picture 2" descr="C:\Users\VLADIM~1.EDA\AppData\Local\Temp\Rar$DIa2784.23353\ՀՀ  արդարադատության նախարարությու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VLADIM~1.EDA\AppData\Local\Temp\Rar$DIa2784.23353\ՀՀ  արդարադատության նախարարություն.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266" cy="3381767"/>
                    </a:xfrm>
                    <a:prstGeom prst="rect">
                      <a:avLst/>
                    </a:prstGeom>
                    <a:noFill/>
                    <a:ln>
                      <a:noFill/>
                    </a:ln>
                  </pic:spPr>
                </pic:pic>
              </a:graphicData>
            </a:graphic>
          </wp:inline>
        </w:drawing>
      </w:r>
    </w:p>
    <w:p w:rsidR="004F6E3C" w:rsidRPr="005450BA" w:rsidRDefault="004F6E3C" w:rsidP="00652A17">
      <w:pPr>
        <w:ind w:right="360"/>
        <w:rPr>
          <w:rFonts w:ascii="GHEA Grapalat" w:hAnsi="GHEA Grapalat"/>
          <w:b/>
          <w:sz w:val="24"/>
          <w:szCs w:val="24"/>
          <w:lang w:val="hy-AM"/>
        </w:rPr>
      </w:pPr>
    </w:p>
    <w:p w:rsidR="004F6E3C" w:rsidRPr="00B32FF0" w:rsidRDefault="004F6E3C" w:rsidP="00652A17">
      <w:pPr>
        <w:pStyle w:val="Caption"/>
        <w:keepNext/>
        <w:tabs>
          <w:tab w:val="left" w:pos="1276"/>
        </w:tabs>
        <w:spacing w:before="0" w:after="0" w:line="276" w:lineRule="auto"/>
        <w:ind w:right="360"/>
        <w:jc w:val="left"/>
        <w:rPr>
          <w:rFonts w:ascii="GHEA Grapalat" w:hAnsi="GHEA Grapalat"/>
          <w:sz w:val="18"/>
          <w:szCs w:val="18"/>
          <w:lang w:val="hy-AM"/>
        </w:rPr>
      </w:pPr>
      <w:r w:rsidRPr="00B32FF0">
        <w:rPr>
          <w:rFonts w:ascii="GHEA Grapalat" w:hAnsi="GHEA Grapalat"/>
          <w:sz w:val="18"/>
          <w:szCs w:val="18"/>
          <w:lang w:val="hy-AM"/>
        </w:rPr>
        <w:t>Աղյուսակ</w:t>
      </w:r>
      <w:r w:rsidR="00AC2B73" w:rsidRPr="00B32FF0">
        <w:rPr>
          <w:rFonts w:ascii="GHEA Grapalat" w:hAnsi="GHEA Grapalat"/>
          <w:sz w:val="18"/>
          <w:szCs w:val="18"/>
          <w:lang w:val="hy-AM"/>
        </w:rPr>
        <w:t xml:space="preserve"> 2</w:t>
      </w:r>
      <w:r w:rsidRPr="00B32FF0">
        <w:rPr>
          <w:rFonts w:ascii="GHEA Grapalat" w:hAnsi="GHEA Grapalat"/>
          <w:sz w:val="18"/>
          <w:szCs w:val="18"/>
          <w:lang w:val="hy-AM"/>
        </w:rPr>
        <w:t>. 2026թ. ՀՀ արդարադատության նախարարության ծրագրերը և միջոցառումները</w:t>
      </w:r>
    </w:p>
    <w:p w:rsidR="009517A7" w:rsidRPr="00B32FF0" w:rsidRDefault="009517A7" w:rsidP="00652A17">
      <w:pPr>
        <w:ind w:right="360"/>
        <w:rPr>
          <w:sz w:val="18"/>
          <w:szCs w:val="18"/>
          <w:lang w:val="hy-AM"/>
        </w:rPr>
      </w:pPr>
    </w:p>
    <w:tbl>
      <w:tblPr>
        <w:tblStyle w:val="TableGrid"/>
        <w:tblW w:w="0" w:type="auto"/>
        <w:tblLayout w:type="fixed"/>
        <w:tblLook w:val="04A0" w:firstRow="1" w:lastRow="0" w:firstColumn="1" w:lastColumn="0" w:noHBand="0" w:noVBand="1"/>
      </w:tblPr>
      <w:tblGrid>
        <w:gridCol w:w="6232"/>
        <w:gridCol w:w="2127"/>
        <w:gridCol w:w="2028"/>
      </w:tblGrid>
      <w:tr w:rsidR="003A54B7" w:rsidRPr="00B32FF0" w:rsidTr="00B32FF0">
        <w:trPr>
          <w:trHeight w:val="517"/>
        </w:trPr>
        <w:tc>
          <w:tcPr>
            <w:tcW w:w="6232" w:type="dxa"/>
            <w:shd w:val="clear" w:color="auto" w:fill="DEEAF6" w:themeFill="accent1" w:themeFillTint="33"/>
            <w:vAlign w:val="center"/>
          </w:tcPr>
          <w:p w:rsidR="003A54B7" w:rsidRPr="00B32FF0" w:rsidRDefault="003A54B7" w:rsidP="00652A17">
            <w:pPr>
              <w:spacing w:line="276" w:lineRule="auto"/>
              <w:ind w:right="360"/>
              <w:rPr>
                <w:rFonts w:ascii="GHEA Grapalat" w:hAnsi="GHEA Grapalat"/>
                <w:sz w:val="18"/>
                <w:szCs w:val="18"/>
                <w:lang w:val="hy-AM"/>
              </w:rPr>
            </w:pPr>
          </w:p>
        </w:tc>
        <w:tc>
          <w:tcPr>
            <w:tcW w:w="2127" w:type="dxa"/>
            <w:shd w:val="clear" w:color="auto" w:fill="DEEAF6" w:themeFill="accent1" w:themeFillTint="33"/>
            <w:vAlign w:val="center"/>
          </w:tcPr>
          <w:p w:rsidR="003A54B7" w:rsidRPr="00B32FF0" w:rsidRDefault="003A54B7" w:rsidP="00652A17">
            <w:pPr>
              <w:spacing w:line="276" w:lineRule="auto"/>
              <w:ind w:right="360"/>
              <w:jc w:val="center"/>
              <w:rPr>
                <w:rFonts w:ascii="GHEA Grapalat" w:hAnsi="GHEA Grapalat"/>
                <w:sz w:val="18"/>
                <w:szCs w:val="18"/>
              </w:rPr>
            </w:pPr>
            <w:r w:rsidRPr="00B32FF0">
              <w:rPr>
                <w:rFonts w:ascii="GHEA Grapalat" w:hAnsi="GHEA Grapalat"/>
                <w:sz w:val="18"/>
                <w:szCs w:val="18"/>
                <w:lang w:val="hy-AM"/>
              </w:rPr>
              <w:t>2025թ. ճշտված պլան</w:t>
            </w:r>
          </w:p>
        </w:tc>
        <w:tc>
          <w:tcPr>
            <w:tcW w:w="2028" w:type="dxa"/>
            <w:shd w:val="clear" w:color="auto" w:fill="DEEAF6" w:themeFill="accent1" w:themeFillTint="33"/>
            <w:vAlign w:val="center"/>
          </w:tcPr>
          <w:p w:rsidR="003A54B7" w:rsidRPr="00B32FF0" w:rsidRDefault="00B32FF0" w:rsidP="00652A17">
            <w:pPr>
              <w:spacing w:line="276" w:lineRule="auto"/>
              <w:ind w:right="360"/>
              <w:jc w:val="center"/>
              <w:rPr>
                <w:rFonts w:ascii="GHEA Grapalat" w:hAnsi="GHEA Grapalat"/>
                <w:sz w:val="18"/>
                <w:szCs w:val="18"/>
                <w:lang w:val="hy-AM"/>
              </w:rPr>
            </w:pPr>
            <w:r w:rsidRPr="00BD391E">
              <w:rPr>
                <w:rFonts w:ascii="GHEA Grapalat" w:hAnsi="GHEA Grapalat"/>
                <w:sz w:val="18"/>
                <w:szCs w:val="18"/>
              </w:rPr>
              <w:t xml:space="preserve">2026թ. </w:t>
            </w:r>
            <w:r w:rsidR="003A54B7" w:rsidRPr="00B32FF0">
              <w:rPr>
                <w:rFonts w:ascii="GHEA Grapalat" w:hAnsi="GHEA Grapalat"/>
                <w:sz w:val="18"/>
                <w:szCs w:val="18"/>
                <w:lang w:val="hy-AM"/>
              </w:rPr>
              <w:t>Հաստատված</w:t>
            </w:r>
          </w:p>
        </w:tc>
      </w:tr>
      <w:tr w:rsidR="003A54B7" w:rsidRPr="00B32FF0" w:rsidTr="00B32FF0">
        <w:trPr>
          <w:trHeight w:val="466"/>
        </w:trPr>
        <w:tc>
          <w:tcPr>
            <w:tcW w:w="6232" w:type="dxa"/>
            <w:vAlign w:val="center"/>
          </w:tcPr>
          <w:p w:rsidR="003A54B7" w:rsidRPr="00B32FF0" w:rsidRDefault="003A54B7" w:rsidP="00652A17">
            <w:pPr>
              <w:spacing w:line="276" w:lineRule="auto"/>
              <w:ind w:right="360"/>
              <w:rPr>
                <w:rFonts w:ascii="GHEA Grapalat" w:hAnsi="GHEA Grapalat"/>
                <w:sz w:val="18"/>
                <w:szCs w:val="18"/>
                <w:lang w:val="hy-AM"/>
              </w:rPr>
            </w:pPr>
            <w:r w:rsidRPr="00B32FF0">
              <w:rPr>
                <w:rFonts w:ascii="GHEA Grapalat" w:hAnsi="GHEA Grapalat"/>
                <w:sz w:val="18"/>
                <w:szCs w:val="18"/>
                <w:lang w:val="hy-AM"/>
              </w:rPr>
              <w:t>Ծրագիր (հատ)</w:t>
            </w:r>
          </w:p>
        </w:tc>
        <w:tc>
          <w:tcPr>
            <w:tcW w:w="2127" w:type="dxa"/>
            <w:vAlign w:val="center"/>
          </w:tcPr>
          <w:p w:rsidR="003A54B7" w:rsidRPr="00B32FF0" w:rsidRDefault="00FD36B8" w:rsidP="00652A17">
            <w:pPr>
              <w:spacing w:line="276" w:lineRule="auto"/>
              <w:ind w:right="360"/>
              <w:jc w:val="right"/>
              <w:rPr>
                <w:rFonts w:ascii="GHEA Grapalat" w:hAnsi="GHEA Grapalat"/>
                <w:sz w:val="18"/>
                <w:szCs w:val="18"/>
                <w:lang w:val="hy-AM"/>
              </w:rPr>
            </w:pPr>
            <w:r w:rsidRPr="00B32FF0">
              <w:rPr>
                <w:rFonts w:ascii="GHEA Grapalat" w:hAnsi="GHEA Grapalat"/>
                <w:sz w:val="18"/>
                <w:szCs w:val="18"/>
                <w:lang w:val="hy-AM"/>
              </w:rPr>
              <w:t>8</w:t>
            </w:r>
          </w:p>
        </w:tc>
        <w:tc>
          <w:tcPr>
            <w:tcW w:w="2028" w:type="dxa"/>
            <w:vAlign w:val="center"/>
          </w:tcPr>
          <w:p w:rsidR="003A54B7" w:rsidRPr="00B32FF0" w:rsidRDefault="003A54B7" w:rsidP="00652A17">
            <w:pPr>
              <w:spacing w:line="276" w:lineRule="auto"/>
              <w:ind w:right="360"/>
              <w:jc w:val="right"/>
              <w:rPr>
                <w:rFonts w:ascii="GHEA Grapalat" w:hAnsi="GHEA Grapalat"/>
                <w:sz w:val="18"/>
                <w:szCs w:val="18"/>
              </w:rPr>
            </w:pPr>
            <w:r w:rsidRPr="00B32FF0">
              <w:rPr>
                <w:rFonts w:ascii="GHEA Grapalat" w:hAnsi="GHEA Grapalat"/>
                <w:sz w:val="18"/>
                <w:szCs w:val="18"/>
              </w:rPr>
              <w:t>7</w:t>
            </w:r>
          </w:p>
        </w:tc>
      </w:tr>
      <w:tr w:rsidR="003A54B7" w:rsidRPr="00B32FF0" w:rsidTr="00B32FF0">
        <w:trPr>
          <w:trHeight w:val="442"/>
        </w:trPr>
        <w:tc>
          <w:tcPr>
            <w:tcW w:w="6232" w:type="dxa"/>
            <w:vAlign w:val="center"/>
          </w:tcPr>
          <w:p w:rsidR="003A54B7" w:rsidRPr="00B32FF0" w:rsidRDefault="003A54B7" w:rsidP="00652A17">
            <w:pPr>
              <w:spacing w:line="276" w:lineRule="auto"/>
              <w:ind w:right="360"/>
              <w:rPr>
                <w:rFonts w:ascii="GHEA Grapalat" w:hAnsi="GHEA Grapalat"/>
                <w:sz w:val="18"/>
                <w:szCs w:val="18"/>
              </w:rPr>
            </w:pPr>
            <w:r w:rsidRPr="00B32FF0">
              <w:rPr>
                <w:rFonts w:ascii="GHEA Grapalat" w:hAnsi="GHEA Grapalat"/>
                <w:sz w:val="18"/>
                <w:szCs w:val="18"/>
                <w:lang w:val="hy-AM"/>
              </w:rPr>
              <w:t>Միջոցառում</w:t>
            </w:r>
            <w:r w:rsidRPr="00B32FF0">
              <w:rPr>
                <w:rFonts w:ascii="GHEA Grapalat" w:hAnsi="GHEA Grapalat"/>
                <w:sz w:val="18"/>
                <w:szCs w:val="18"/>
              </w:rPr>
              <w:t xml:space="preserve"> (</w:t>
            </w:r>
            <w:r w:rsidRPr="00B32FF0">
              <w:rPr>
                <w:rFonts w:ascii="GHEA Grapalat" w:hAnsi="GHEA Grapalat"/>
                <w:sz w:val="18"/>
                <w:szCs w:val="18"/>
                <w:lang w:val="hy-AM"/>
              </w:rPr>
              <w:t>հատ</w:t>
            </w:r>
            <w:r w:rsidRPr="00B32FF0">
              <w:rPr>
                <w:rFonts w:ascii="GHEA Grapalat" w:hAnsi="GHEA Grapalat"/>
                <w:sz w:val="18"/>
                <w:szCs w:val="18"/>
              </w:rPr>
              <w:t>)</w:t>
            </w:r>
          </w:p>
        </w:tc>
        <w:tc>
          <w:tcPr>
            <w:tcW w:w="2127" w:type="dxa"/>
            <w:vAlign w:val="center"/>
          </w:tcPr>
          <w:p w:rsidR="003A54B7" w:rsidRPr="00B32FF0" w:rsidRDefault="00214BA2" w:rsidP="00652A17">
            <w:pPr>
              <w:spacing w:line="276" w:lineRule="auto"/>
              <w:ind w:right="360"/>
              <w:jc w:val="right"/>
              <w:rPr>
                <w:rFonts w:ascii="GHEA Grapalat" w:hAnsi="GHEA Grapalat"/>
                <w:sz w:val="18"/>
                <w:szCs w:val="18"/>
                <w:lang w:val="hy-AM"/>
              </w:rPr>
            </w:pPr>
            <w:r w:rsidRPr="00B32FF0">
              <w:rPr>
                <w:rFonts w:ascii="GHEA Grapalat" w:hAnsi="GHEA Grapalat"/>
                <w:sz w:val="18"/>
                <w:szCs w:val="18"/>
                <w:lang w:val="hy-AM"/>
              </w:rPr>
              <w:t>25</w:t>
            </w:r>
          </w:p>
        </w:tc>
        <w:tc>
          <w:tcPr>
            <w:tcW w:w="2028" w:type="dxa"/>
            <w:vAlign w:val="center"/>
          </w:tcPr>
          <w:p w:rsidR="003A54B7" w:rsidRPr="00B32FF0" w:rsidRDefault="003A54B7" w:rsidP="00652A17">
            <w:pPr>
              <w:spacing w:line="276" w:lineRule="auto"/>
              <w:ind w:right="360"/>
              <w:jc w:val="right"/>
              <w:rPr>
                <w:rFonts w:ascii="GHEA Grapalat" w:hAnsi="GHEA Grapalat"/>
                <w:sz w:val="18"/>
                <w:szCs w:val="18"/>
              </w:rPr>
            </w:pPr>
            <w:r w:rsidRPr="00B32FF0">
              <w:rPr>
                <w:rFonts w:ascii="GHEA Grapalat" w:hAnsi="GHEA Grapalat"/>
                <w:sz w:val="18"/>
                <w:szCs w:val="18"/>
              </w:rPr>
              <w:t>19</w:t>
            </w:r>
          </w:p>
        </w:tc>
      </w:tr>
      <w:tr w:rsidR="003A54B7" w:rsidRPr="00B32FF0" w:rsidTr="00B32FF0">
        <w:trPr>
          <w:trHeight w:val="449"/>
        </w:trPr>
        <w:tc>
          <w:tcPr>
            <w:tcW w:w="6232" w:type="dxa"/>
            <w:vAlign w:val="center"/>
          </w:tcPr>
          <w:p w:rsidR="003A54B7" w:rsidRPr="00B32FF0" w:rsidRDefault="003A54B7" w:rsidP="00652A17">
            <w:pPr>
              <w:spacing w:line="276" w:lineRule="auto"/>
              <w:ind w:right="360"/>
              <w:rPr>
                <w:rFonts w:ascii="GHEA Grapalat" w:hAnsi="GHEA Grapalat"/>
                <w:sz w:val="18"/>
                <w:szCs w:val="18"/>
                <w:lang w:val="hy-AM"/>
              </w:rPr>
            </w:pPr>
            <w:r w:rsidRPr="00B32FF0">
              <w:rPr>
                <w:rFonts w:ascii="GHEA Grapalat" w:hAnsi="GHEA Grapalat"/>
                <w:sz w:val="18"/>
                <w:szCs w:val="18"/>
                <w:lang w:val="hy-AM"/>
              </w:rPr>
              <w:t xml:space="preserve">Հատկացում </w:t>
            </w:r>
            <w:r w:rsidRPr="00B32FF0">
              <w:rPr>
                <w:rFonts w:ascii="GHEA Grapalat" w:hAnsi="GHEA Grapalat"/>
                <w:sz w:val="18"/>
                <w:szCs w:val="18"/>
              </w:rPr>
              <w:t>(</w:t>
            </w:r>
            <w:r w:rsidRPr="00B32FF0">
              <w:rPr>
                <w:rFonts w:ascii="GHEA Grapalat" w:hAnsi="GHEA Grapalat"/>
                <w:sz w:val="18"/>
                <w:szCs w:val="18"/>
                <w:lang w:val="hy-AM"/>
              </w:rPr>
              <w:t>մլն դրամ</w:t>
            </w:r>
            <w:r w:rsidRPr="00B32FF0">
              <w:rPr>
                <w:rFonts w:ascii="GHEA Grapalat" w:hAnsi="GHEA Grapalat"/>
                <w:sz w:val="18"/>
                <w:szCs w:val="18"/>
              </w:rPr>
              <w:t>)</w:t>
            </w:r>
          </w:p>
        </w:tc>
        <w:tc>
          <w:tcPr>
            <w:tcW w:w="2127" w:type="dxa"/>
            <w:vAlign w:val="center"/>
          </w:tcPr>
          <w:p w:rsidR="003A54B7" w:rsidRPr="00B32FF0" w:rsidRDefault="00281A41" w:rsidP="00652A17">
            <w:pPr>
              <w:spacing w:line="276" w:lineRule="auto"/>
              <w:ind w:right="360"/>
              <w:jc w:val="right"/>
              <w:rPr>
                <w:rFonts w:ascii="GHEA Grapalat" w:hAnsi="GHEA Grapalat" w:cs="Calibri"/>
                <w:sz w:val="18"/>
                <w:szCs w:val="18"/>
                <w:lang w:val="hy-AM"/>
              </w:rPr>
            </w:pPr>
            <w:r>
              <w:rPr>
                <w:rFonts w:ascii="GHEA Grapalat" w:hAnsi="GHEA Grapalat" w:cs="Calibri"/>
                <w:sz w:val="18"/>
                <w:szCs w:val="18"/>
                <w:lang w:val="hy-AM"/>
              </w:rPr>
              <w:t>24,196</w:t>
            </w:r>
            <w:r>
              <w:rPr>
                <w:rFonts w:ascii="GHEA Grapalat" w:hAnsi="GHEA Grapalat" w:cs="Calibri"/>
                <w:sz w:val="18"/>
                <w:szCs w:val="18"/>
              </w:rPr>
              <w:t>.5</w:t>
            </w:r>
          </w:p>
        </w:tc>
        <w:tc>
          <w:tcPr>
            <w:tcW w:w="2028" w:type="dxa"/>
            <w:vAlign w:val="center"/>
          </w:tcPr>
          <w:p w:rsidR="003A54B7" w:rsidRPr="00B32FF0" w:rsidRDefault="003A54B7" w:rsidP="00652A17">
            <w:pPr>
              <w:spacing w:line="276" w:lineRule="auto"/>
              <w:ind w:right="360"/>
              <w:jc w:val="right"/>
              <w:rPr>
                <w:rFonts w:ascii="GHEA Grapalat" w:hAnsi="GHEA Grapalat" w:cs="Calibri"/>
                <w:sz w:val="18"/>
                <w:szCs w:val="18"/>
              </w:rPr>
            </w:pPr>
            <w:r w:rsidRPr="00B32FF0">
              <w:rPr>
                <w:rFonts w:ascii="GHEA Grapalat" w:hAnsi="GHEA Grapalat" w:cs="Calibri"/>
                <w:sz w:val="18"/>
                <w:szCs w:val="18"/>
              </w:rPr>
              <w:t>24,003.2</w:t>
            </w:r>
          </w:p>
        </w:tc>
      </w:tr>
    </w:tbl>
    <w:p w:rsidR="000114AE" w:rsidRPr="00652A17" w:rsidRDefault="000114AE" w:rsidP="00652A17">
      <w:pPr>
        <w:ind w:right="360"/>
        <w:rPr>
          <w:rFonts w:ascii="Sylfaen" w:hAnsi="Sylfaen"/>
          <w:lang w:val="hy-AM"/>
        </w:rPr>
      </w:pPr>
    </w:p>
    <w:p w:rsidR="00E142CB" w:rsidRPr="009517A7" w:rsidRDefault="00E142CB" w:rsidP="007F793D">
      <w:pPr>
        <w:spacing w:after="0" w:line="276" w:lineRule="auto"/>
        <w:ind w:right="92"/>
        <w:jc w:val="both"/>
        <w:rPr>
          <w:rFonts w:ascii="GHEA Grapalat" w:hAnsi="GHEA Grapalat" w:cs="Sylfaen"/>
          <w:b/>
          <w:lang w:val="hy-AM"/>
        </w:rPr>
      </w:pPr>
      <w:bookmarkStart w:id="1" w:name="_GoBack"/>
      <w:r w:rsidRPr="009517A7">
        <w:rPr>
          <w:rFonts w:ascii="GHEA Grapalat" w:hAnsi="GHEA Grapalat" w:cs="Sylfaen"/>
          <w:lang w:val="hy-AM"/>
        </w:rPr>
        <w:t xml:space="preserve">ՀՀ արդարադատության ոլորտի քաղաքականության իրականացման նպատակով 2026 թվականի պետական բյուջեով  նախատեսվել է </w:t>
      </w:r>
      <w:r w:rsidR="00FD36B8">
        <w:rPr>
          <w:rFonts w:ascii="GHEA Grapalat" w:hAnsi="GHEA Grapalat" w:cs="Sylfaen"/>
          <w:lang w:val="hy-AM"/>
        </w:rPr>
        <w:t>24,003.2</w:t>
      </w:r>
      <w:r w:rsidRPr="009517A7">
        <w:rPr>
          <w:rFonts w:ascii="GHEA Grapalat" w:hAnsi="GHEA Grapalat" w:cs="Sylfaen"/>
          <w:lang w:val="hy-AM"/>
        </w:rPr>
        <w:t xml:space="preserve"> </w:t>
      </w:r>
      <w:r w:rsidRPr="009517A7">
        <w:rPr>
          <w:rFonts w:ascii="GHEA Grapalat" w:hAnsi="GHEA Grapalat" w:cs="GHEA Grapalat"/>
          <w:lang w:val="hy-AM"/>
        </w:rPr>
        <w:t>մլն</w:t>
      </w:r>
      <w:r w:rsidRPr="009517A7">
        <w:rPr>
          <w:rFonts w:ascii="GHEA Grapalat" w:hAnsi="GHEA Grapalat" w:cs="Sylfaen"/>
          <w:lang w:val="hy-AM"/>
        </w:rPr>
        <w:t xml:space="preserve"> </w:t>
      </w:r>
      <w:r w:rsidRPr="009517A7">
        <w:rPr>
          <w:rFonts w:ascii="GHEA Grapalat" w:hAnsi="GHEA Grapalat" w:cs="GHEA Grapalat"/>
          <w:lang w:val="hy-AM"/>
        </w:rPr>
        <w:t>դրամ</w:t>
      </w:r>
      <w:r w:rsidRPr="009517A7">
        <w:rPr>
          <w:rFonts w:ascii="GHEA Grapalat" w:hAnsi="GHEA Grapalat" w:cs="Sylfaen"/>
          <w:lang w:val="hy-AM"/>
        </w:rPr>
        <w:t xml:space="preserve">, </w:t>
      </w:r>
      <w:r w:rsidRPr="009517A7">
        <w:rPr>
          <w:rFonts w:ascii="GHEA Grapalat" w:hAnsi="GHEA Grapalat" w:cs="GHEA Grapalat"/>
          <w:lang w:val="hy-AM"/>
        </w:rPr>
        <w:t>այդ</w:t>
      </w:r>
      <w:r w:rsidRPr="009517A7">
        <w:rPr>
          <w:rFonts w:ascii="GHEA Grapalat" w:hAnsi="GHEA Grapalat" w:cs="Sylfaen"/>
          <w:lang w:val="hy-AM"/>
        </w:rPr>
        <w:t xml:space="preserve"> </w:t>
      </w:r>
      <w:r w:rsidRPr="009517A7">
        <w:rPr>
          <w:rFonts w:ascii="GHEA Grapalat" w:hAnsi="GHEA Grapalat" w:cs="GHEA Grapalat"/>
          <w:lang w:val="hy-AM"/>
        </w:rPr>
        <w:t>թվում՝</w:t>
      </w:r>
      <w:r w:rsidRPr="009517A7">
        <w:rPr>
          <w:rFonts w:ascii="GHEA Grapalat" w:hAnsi="GHEA Grapalat" w:cs="Sylfaen"/>
          <w:lang w:val="hy-AM"/>
        </w:rPr>
        <w:t xml:space="preserve"> </w:t>
      </w:r>
      <w:r w:rsidRPr="009517A7">
        <w:rPr>
          <w:rFonts w:ascii="GHEA Grapalat" w:hAnsi="GHEA Grapalat" w:cs="GHEA Grapalat"/>
          <w:lang w:val="hy-AM"/>
        </w:rPr>
        <w:t>կապիտալ</w:t>
      </w:r>
      <w:r w:rsidRPr="009517A7">
        <w:rPr>
          <w:rFonts w:ascii="GHEA Grapalat" w:hAnsi="GHEA Grapalat" w:cs="Sylfaen"/>
          <w:lang w:val="hy-AM"/>
        </w:rPr>
        <w:t xml:space="preserve"> </w:t>
      </w:r>
      <w:r w:rsidRPr="009517A7">
        <w:rPr>
          <w:rFonts w:ascii="GHEA Grapalat" w:hAnsi="GHEA Grapalat" w:cs="GHEA Grapalat"/>
          <w:lang w:val="hy-AM"/>
        </w:rPr>
        <w:t>ծախսերի</w:t>
      </w:r>
      <w:r w:rsidRPr="009517A7">
        <w:rPr>
          <w:rFonts w:ascii="GHEA Grapalat" w:hAnsi="GHEA Grapalat" w:cs="Sylfaen"/>
          <w:lang w:val="hy-AM"/>
        </w:rPr>
        <w:t xml:space="preserve"> </w:t>
      </w:r>
      <w:r w:rsidRPr="009517A7">
        <w:rPr>
          <w:rFonts w:ascii="GHEA Grapalat" w:hAnsi="GHEA Grapalat" w:cs="GHEA Grapalat"/>
          <w:lang w:val="hy-AM"/>
        </w:rPr>
        <w:t>գծով</w:t>
      </w:r>
      <w:r w:rsidR="00214BA2">
        <w:rPr>
          <w:rFonts w:ascii="GHEA Grapalat" w:hAnsi="GHEA Grapalat" w:cs="GHEA Grapalat"/>
          <w:lang w:val="hy-AM"/>
        </w:rPr>
        <w:t xml:space="preserve"> 409.8</w:t>
      </w:r>
      <w:r w:rsidRPr="009517A7">
        <w:rPr>
          <w:rFonts w:ascii="GHEA Grapalat" w:hAnsi="GHEA Grapalat" w:cs="GHEA Grapalat"/>
          <w:lang w:val="hy-AM"/>
        </w:rPr>
        <w:t xml:space="preserve"> մլն</w:t>
      </w:r>
      <w:r w:rsidRPr="009517A7">
        <w:rPr>
          <w:rFonts w:ascii="GHEA Grapalat" w:hAnsi="GHEA Grapalat" w:cs="Sylfaen"/>
          <w:lang w:val="hy-AM"/>
        </w:rPr>
        <w:t xml:space="preserve"> </w:t>
      </w:r>
      <w:r w:rsidRPr="009517A7">
        <w:rPr>
          <w:rFonts w:ascii="GHEA Grapalat" w:hAnsi="GHEA Grapalat" w:cs="GHEA Grapalat"/>
          <w:lang w:val="hy-AM"/>
        </w:rPr>
        <w:t>դրամ։</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Արդարադատության ոլորտում քաղաքականության մշակման, ծրագրերի համակարգման, խորհրդատվության և մոնիտորինգի ծրագրի գծով 2026 թվականի ընթացքում նախատեսվում է իրականացնել ՀՀ դատական և իրավական բարեփոխումների 2022-2026 թվականների ռազմավարությունից բխող 2022-2026 թվականների գործողությունների ծրագրով և Հայաստանի Հանրապետության հակակոռուպցիոն ռազմավարության և դրանից բխող 2023-2026 թվականների գործողությունների ծրագրի շրջանակներում սահմանված միջոցառումները: Մասնավորապես, նախատեսվում է ապահովել ռազմավարություններից բխող 2</w:t>
      </w:r>
      <w:r w:rsidR="00246626">
        <w:rPr>
          <w:rFonts w:ascii="GHEA Grapalat" w:hAnsi="GHEA Grapalat" w:cs="Sylfaen"/>
          <w:lang w:val="hy-AM"/>
        </w:rPr>
        <w:t>0</w:t>
      </w:r>
      <w:r w:rsidRPr="009517A7">
        <w:rPr>
          <w:rFonts w:ascii="GHEA Grapalat" w:hAnsi="GHEA Grapalat" w:cs="Sylfaen"/>
          <w:lang w:val="hy-AM"/>
        </w:rPr>
        <w:t xml:space="preserve">0 իրավական ակտերի նախագծերի մշակում, 5000 պետական փորձագիտական եզրակացությունների, կարծիքների, դիրքորոշումների տրամադրում։ Նախատեսվում է իրավաբանական անձանց պետական գրանցման գործընթացի արդյունավետության բարձրացմանն ուղղված շարունակական աշխատանքների իրականացում և պետական ռեգիստրում գրանցման ենթակա 70,500 սուբյեկտների և նրանց առանձնացված ստորաբաժանումների պետական գրանցում և հաշվառում։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Նախատեսվում է ապահովել անձնական տվյալների պաշտպանության ավելի բարձր մակարդակ, մասնավորապես՝ համապատասխանեցնել անձնական տվյալների պաշտպանության լիազոր մարմնի կարգավիճակն օրենքով սահմանված և միջազգային չափանիշներին՝ ապահովելով նաև մարդկային ռեսուրսների, մասնագիտական, նյութական և տեխնիկական կարողությունների զարգացում։ Անձնական տվյալների պաշտպանության նպատակով հասարակության իրազեկվածության նպատակով 2026 թվականին նախատեսվում է տրամադրել 300 խորհրդատվություն։</w:t>
      </w:r>
      <w:r w:rsidRPr="009517A7">
        <w:rPr>
          <w:rFonts w:ascii="GHEA Grapalat" w:hAnsi="GHEA Grapalat" w:cs="Sylfaen"/>
          <w:lang w:val="hy-AM"/>
        </w:rPr>
        <w:tab/>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Քաղաքացիական կացության ակտերի գրանցում ծրագրի գծով 2026 թվականին նախատեսվում է շարունակել նվազեցնել ոլորտում առկա վարչարարությունը` ապահովելով շուրջ 160,000 գրանցումներ, վկայակնների կրկնօրինակների, տեղեկանքների տրամադրում, մատուցվող ծառայությունների ավտոմատացման 100 տոկոս, մատուցվող ծառայությունների դիմաց ներկայացված բողոքների կրճատում՝ մինչև 5 տոկոս։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Դատական և հանրային պաշտպանություն ծրագրի գծով միջոցներն, ինչպես և նախկինում, ուղղվելու են իրավունքի պաշտպանության հասանելիության և օբյեկտիվության ապահովմանը: Ծրագրի գծով 2026 թվականին նախատեսվել են միջոցներ՝ </w:t>
      </w:r>
      <w:r w:rsidRPr="009517A7">
        <w:rPr>
          <w:rFonts w:ascii="GHEA Grapalat" w:hAnsi="GHEA Grapalat" w:cs="GHEA Grapalat"/>
          <w:lang w:val="hy-AM"/>
        </w:rPr>
        <w:t>փորձաքննությունների</w:t>
      </w:r>
      <w:r w:rsidRPr="009517A7">
        <w:rPr>
          <w:rFonts w:ascii="GHEA Grapalat" w:hAnsi="GHEA Grapalat" w:cs="Sylfaen"/>
          <w:lang w:val="hy-AM"/>
        </w:rPr>
        <w:t xml:space="preserve"> </w:t>
      </w:r>
      <w:r w:rsidRPr="009517A7">
        <w:rPr>
          <w:rFonts w:ascii="GHEA Grapalat" w:hAnsi="GHEA Grapalat" w:cs="GHEA Grapalat"/>
          <w:lang w:val="hy-AM"/>
        </w:rPr>
        <w:t>ծառայությունների</w:t>
      </w:r>
      <w:r w:rsidRPr="009517A7">
        <w:rPr>
          <w:rFonts w:ascii="GHEA Grapalat" w:hAnsi="GHEA Grapalat" w:cs="Sylfaen"/>
          <w:lang w:val="hy-AM"/>
        </w:rPr>
        <w:t xml:space="preserve"> </w:t>
      </w:r>
      <w:r w:rsidRPr="009517A7">
        <w:rPr>
          <w:rFonts w:ascii="GHEA Grapalat" w:hAnsi="GHEA Grapalat" w:cs="GHEA Grapalat"/>
          <w:lang w:val="hy-AM"/>
        </w:rPr>
        <w:t>ձեռքբերման</w:t>
      </w:r>
      <w:r w:rsidRPr="009517A7">
        <w:rPr>
          <w:rFonts w:ascii="GHEA Grapalat" w:hAnsi="GHEA Grapalat" w:cs="Sylfaen"/>
          <w:lang w:val="hy-AM"/>
        </w:rPr>
        <w:t xml:space="preserve"> </w:t>
      </w:r>
      <w:r w:rsidRPr="009517A7">
        <w:rPr>
          <w:rFonts w:ascii="GHEA Grapalat" w:hAnsi="GHEA Grapalat" w:cs="GHEA Grapalat"/>
          <w:lang w:val="hy-AM"/>
        </w:rPr>
        <w:t>նպատակով</w:t>
      </w:r>
      <w:r w:rsidRPr="009517A7">
        <w:rPr>
          <w:rFonts w:ascii="GHEA Grapalat" w:hAnsi="GHEA Grapalat" w:cs="Sylfaen"/>
          <w:lang w:val="hy-AM"/>
        </w:rPr>
        <w:t xml:space="preserve">, </w:t>
      </w:r>
      <w:r w:rsidRPr="009517A7">
        <w:rPr>
          <w:rFonts w:ascii="GHEA Grapalat" w:hAnsi="GHEA Grapalat" w:cs="GHEA Grapalat"/>
          <w:lang w:val="hy-AM"/>
        </w:rPr>
        <w:t>միաժամանակ</w:t>
      </w:r>
      <w:r w:rsidRPr="009517A7">
        <w:rPr>
          <w:rFonts w:ascii="GHEA Grapalat" w:hAnsi="GHEA Grapalat" w:cs="Sylfaen"/>
          <w:lang w:val="hy-AM"/>
        </w:rPr>
        <w:t xml:space="preserve"> </w:t>
      </w:r>
      <w:r w:rsidRPr="009517A7">
        <w:rPr>
          <w:rFonts w:ascii="GHEA Grapalat" w:hAnsi="GHEA Grapalat" w:cs="GHEA Grapalat"/>
          <w:lang w:val="hy-AM"/>
        </w:rPr>
        <w:t>ապահովելով</w:t>
      </w:r>
      <w:r w:rsidRPr="009517A7">
        <w:rPr>
          <w:rFonts w:ascii="GHEA Grapalat" w:hAnsi="GHEA Grapalat" w:cs="Sylfaen"/>
          <w:lang w:val="hy-AM"/>
        </w:rPr>
        <w:t xml:space="preserve"> </w:t>
      </w:r>
      <w:r w:rsidRPr="009517A7">
        <w:rPr>
          <w:rFonts w:ascii="GHEA Grapalat" w:hAnsi="GHEA Grapalat" w:cs="GHEA Grapalat"/>
          <w:lang w:val="hy-AM"/>
        </w:rPr>
        <w:t>առաջադրված</w:t>
      </w:r>
      <w:r w:rsidRPr="009517A7">
        <w:rPr>
          <w:rFonts w:ascii="GHEA Grapalat" w:hAnsi="GHEA Grapalat" w:cs="Sylfaen"/>
          <w:lang w:val="hy-AM"/>
        </w:rPr>
        <w:t xml:space="preserve"> </w:t>
      </w:r>
      <w:r w:rsidRPr="009517A7">
        <w:rPr>
          <w:rFonts w:ascii="GHEA Grapalat" w:hAnsi="GHEA Grapalat" w:cs="GHEA Grapalat"/>
          <w:lang w:val="hy-AM"/>
        </w:rPr>
        <w:t>հարցերի</w:t>
      </w:r>
      <w:r w:rsidRPr="009517A7">
        <w:rPr>
          <w:rFonts w:ascii="GHEA Grapalat" w:hAnsi="GHEA Grapalat" w:cs="Sylfaen"/>
          <w:lang w:val="hy-AM"/>
        </w:rPr>
        <w:t xml:space="preserve"> ընդհանուր քանակի մեջ փորձաքննությամբ լուծված հարցերի 95 տոկոս տեսակարար կշիռ։ </w:t>
      </w:r>
    </w:p>
    <w:p w:rsidR="00E142CB" w:rsidRPr="009517A7" w:rsidRDefault="00E142CB" w:rsidP="007F793D">
      <w:pPr>
        <w:spacing w:after="0" w:line="276" w:lineRule="auto"/>
        <w:ind w:right="92"/>
        <w:jc w:val="both"/>
        <w:rPr>
          <w:rFonts w:ascii="GHEA Grapalat" w:hAnsi="GHEA Grapalat" w:cs="Sylfaen"/>
          <w:b/>
          <w:strike/>
          <w:lang w:val="hy-AM"/>
        </w:rPr>
      </w:pPr>
      <w:r w:rsidRPr="009517A7">
        <w:rPr>
          <w:rFonts w:ascii="GHEA Grapalat" w:hAnsi="GHEA Grapalat" w:cs="Sylfaen"/>
          <w:lang w:val="hy-AM"/>
        </w:rPr>
        <w:t xml:space="preserve"> «Քրեակատարողական ծառայություններ»  ծրագրի գծով 2026 թվականին հատկացված գումարները նախատեսվում է ուղղել քրեակատարողական հիմնարկների օպտիմալացման և արդիականացման ռազմավարական պլանները կյանքի կոչելուն, ազատությունից զրկված անձանց պահման պայմանների բարելավմանը, վերասոցիալականացման միջոցառումների իրականացմանը, տրամադրվող բժշկական օգնության և սպասարկման որակի բարձրացմանը, պրոբացիայի ինստիտուտի զարգացմանն ու արձանագրված ոլորտային խնդիրների լուծմանը: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Ծրագրի շրջանակում նախատեսվում է դատապարտյալների 15 տոկոսին ապահովել աշխատանքով, աստիճանաբար ավելացնել ՔԿՀ-ում միջին մասնագիտական/տեխնիկական կրթություն ստացող, սոցիալական /սոցիալական վերականգնում և խորհրդատվություն/ աջակցություն ստացած դատապարտյալների և կալանավորվածների </w:t>
      </w:r>
      <w:r w:rsidRPr="009517A7">
        <w:rPr>
          <w:rFonts w:ascii="GHEA Grapalat" w:hAnsi="GHEA Grapalat"/>
          <w:noProof/>
          <w:lang w:val="hy-AM"/>
        </w:rPr>
        <w:t>թիվ</w:t>
      </w:r>
      <w:r w:rsidRPr="009517A7">
        <w:rPr>
          <w:rFonts w:ascii="GHEA Grapalat" w:hAnsi="GHEA Grapalat" w:cs="Sylfaen"/>
          <w:lang w:val="hy-AM"/>
        </w:rPr>
        <w:t xml:space="preserve">ը, ՔԿՀ-ում մշակութային կամ մարզական միջոցառումներին մասնակցած դատապարտյալների  տեսակարար կշիռը ընդհանուր դատապարտյալների մեջ: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2026 թվականին շարունակվելու է քրեակատարողական հիմնարկներում գտնվող,  իրավախախտում կատարած անձանց գեղագիտական դաստիարակության և կրթության ծրագրերի իրականացումը: Տարեկան հաստատված ծրագրերին մասնակցած և հավաստագրեր ստացած ունկնդիրների տեսակարար կշիռը մասնակիցների ընդհանուր թվաքանակի մեջ նախատեսվում է 80 տոկոս: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Կառավարությունը շարունակելու է վճռական մնալ վերականգնողական արդարադատության սկզբունքների արմատավորման հարցում: Այս համատեքստում հիմնական թիրախային ուղղությունները լինելու են զարգացնել Պրոբացիայի ծառայության կարողությունները և հզորացնել կադրային ներուժը: Պրոբացիայի ծառայությունում հաշվառված շահառուների համար նախատեսվում է իրականացնել 200 կրթական, կրոնական, սպորտային, մշակութային միջոցառումներ, ավելացնել վերասոցիալականացման ծրագրերին մասնակցած շահառուների </w:t>
      </w:r>
      <w:r w:rsidRPr="009517A7">
        <w:rPr>
          <w:rFonts w:ascii="GHEA Grapalat" w:hAnsi="GHEA Grapalat"/>
          <w:noProof/>
          <w:lang w:val="hy-AM"/>
        </w:rPr>
        <w:t>թիվ</w:t>
      </w:r>
      <w:r w:rsidRPr="009517A7">
        <w:rPr>
          <w:rFonts w:ascii="GHEA Grapalat" w:hAnsi="GHEA Grapalat" w:cs="Sylfaen"/>
          <w:lang w:val="hy-AM"/>
        </w:rPr>
        <w:t xml:space="preserve">ը, հանրային աշխատանքներ պատժատեսակում ներգրավված շահառուների </w:t>
      </w:r>
      <w:r w:rsidRPr="009517A7">
        <w:rPr>
          <w:rFonts w:ascii="GHEA Grapalat" w:hAnsi="GHEA Grapalat"/>
          <w:noProof/>
          <w:lang w:val="hy-AM"/>
        </w:rPr>
        <w:t>թիվ</w:t>
      </w:r>
      <w:r w:rsidRPr="009517A7">
        <w:rPr>
          <w:rFonts w:ascii="GHEA Grapalat" w:hAnsi="GHEA Grapalat" w:cs="Sylfaen"/>
          <w:lang w:val="hy-AM"/>
        </w:rPr>
        <w:t xml:space="preserve">ը, արդյունքում ապահովելով կրկնահանցագործություն կատարած շահառուների թվի կրճատում: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Ազատությունից զրկելուն այլընտրանք հանդիսացող նոր պատժատեսակների և խափանման միջոցների արդյունավետ կիրառման նպատակով Պրոբացիայի ծառայությանը 2026 թվականին շարունակվելու է էլեկտրոնային հսկողության համար անհրաժեշտ միջոցներով ու ենթակառուցվածքներով վերազինումը և, ըստ այդմ, իրավակիրառ պրակտիկայում էլեկտրոնային հսկողության փաստացի և պատշաճ կիրառումը: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ab/>
        <w:t xml:space="preserve">«Իրավական իրազեկում և տեղեկատվության ապահովում» ծրագրի շրջանակներում նախատեսվում է ապահովել Հայաստանի իրավական տեղեկատվության համակարգում` «ԱՐԼԻՍ» կայքում լրացուցիչ մոտ 5,000 իրավական ակտի հրատարակում, տեղեկատվական համակարգի ամենշաբաթյա թարմացում, իրավական ակտերի էլեկտրոնային ժողովածուի պարբերական համալրում և  ՀՀ, ԵՏՄ, ԵՄ իրավական ակտերի, ՀՀ ազգային զեկույցների, ՀՀ պետական մարմինների կողմից միջազգային կառույցներ ներկայացվող և այդ կառույցների կողմից ՀՀ մարմիններ ներկայացվող փաստաթղթերի և հանձնարարվող այլ առանցքային փաստաթղթերի թարգմանությունների կատարումը: Ծրագրի նպատակն է ապահովել մոտ 3 տոկոս հանրային իրազեկվածության բարձրացում: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 xml:space="preserve"> «Արդարադատության համակարգի աշխատակիցների վերապատրաստում և հատուկ ուսուցում» ծրագրի գծով 2026 թվականին </w:t>
      </w:r>
      <w:r w:rsidRPr="009517A7">
        <w:rPr>
          <w:rFonts w:ascii="GHEA Grapalat" w:hAnsi="GHEA Grapalat" w:cs="GHEA Grapalat"/>
          <w:lang w:val="hy-AM"/>
        </w:rPr>
        <w:t>նախատեսվում է ապահովել 1,075 հատուկ ծառայողների, 327 դատավորների</w:t>
      </w:r>
      <w:r w:rsidRPr="009517A7">
        <w:rPr>
          <w:rFonts w:ascii="GHEA Grapalat" w:hAnsi="GHEA Grapalat" w:cs="Sylfaen"/>
          <w:lang w:val="hy-AM"/>
        </w:rPr>
        <w:t xml:space="preserve">, 257 դատախազների, 250 դատական կարգադրիչների վերապատրաստումն ու  հատուկ ուսուցումը, ապահովելով վերապատրաստման հավաստագիր ստացած ունկնդիրների </w:t>
      </w:r>
      <w:r w:rsidRPr="009517A7">
        <w:rPr>
          <w:rFonts w:ascii="GHEA Grapalat" w:hAnsi="GHEA Grapalat" w:cs="GHEA Grapalat"/>
          <w:lang w:val="hy-AM"/>
        </w:rPr>
        <w:t>99 տոկոս տեսակարար կշիռ:</w:t>
      </w:r>
      <w:r w:rsidRPr="009517A7">
        <w:rPr>
          <w:rFonts w:ascii="GHEA Grapalat" w:hAnsi="GHEA Grapalat" w:cs="Sylfaen"/>
          <w:lang w:val="hy-AM"/>
        </w:rPr>
        <w:t xml:space="preserve"> </w:t>
      </w:r>
    </w:p>
    <w:p w:rsidR="00E142CB" w:rsidRPr="009517A7" w:rsidRDefault="00E142CB" w:rsidP="007F793D">
      <w:pPr>
        <w:spacing w:after="0" w:line="276" w:lineRule="auto"/>
        <w:ind w:right="92"/>
        <w:jc w:val="both"/>
        <w:rPr>
          <w:rFonts w:ascii="GHEA Grapalat" w:hAnsi="GHEA Grapalat" w:cs="Sylfaen"/>
          <w:b/>
          <w:lang w:val="hy-AM"/>
        </w:rPr>
      </w:pPr>
      <w:r w:rsidRPr="009517A7">
        <w:rPr>
          <w:rFonts w:ascii="GHEA Grapalat" w:hAnsi="GHEA Grapalat" w:cs="Sylfaen"/>
          <w:lang w:val="hy-AM"/>
        </w:rPr>
        <w:t>2026 թվականին Դատաիրավական բարեփոխումների շրջանակում իրականացվելու է հարկադիր կատարման ոլորտի համընդհանուր բարեփոխումներ՝ բարձրացնելու կատարողական գործողությունների արդյունավետությունը, առավելագույնս ապահովելու կատարողական վարույթի մասնակիցների օրինական շահերի պաշտպանությունը, նրանց խնդիրներին ու կարիքներին արագ և արդյունավետ արձագանքելու կառուցակարգերի ներդրմանը: 2026 թվականին նախատեսվում է ավարտել ընթացքի մեջ գտնվող կատարողական վարույթների 59 տոկոսը, բռնագանձման ենթակա գումարի նկատմամբ բռնագանձված գումարի տեսակարար կշիռը նախատեսվել է 13 տոկոս, իսկ աճուրդով վերականգնված գումարի տեսակարար կշիռը՝ 3 տոկոս:</w:t>
      </w:r>
    </w:p>
    <w:bookmarkEnd w:id="1"/>
    <w:p w:rsidR="00E142CB" w:rsidRPr="009517A7" w:rsidRDefault="00E142CB" w:rsidP="007F793D">
      <w:pPr>
        <w:spacing w:after="0" w:line="276" w:lineRule="auto"/>
        <w:ind w:right="92"/>
        <w:jc w:val="both"/>
        <w:rPr>
          <w:rFonts w:ascii="GHEA Grapalat" w:hAnsi="GHEA Grapalat"/>
          <w:b/>
          <w:lang w:val="hy-AM"/>
        </w:rPr>
      </w:pPr>
    </w:p>
    <w:sectPr w:rsidR="00E142CB" w:rsidRPr="009517A7" w:rsidSect="007F793D">
      <w:footerReference w:type="default" r:id="rId9"/>
      <w:pgSz w:w="12240" w:h="15840"/>
      <w:pgMar w:top="810" w:right="616" w:bottom="126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DA1" w:rsidRDefault="00946DA1" w:rsidP="00946DA1">
      <w:pPr>
        <w:spacing w:after="0" w:line="240" w:lineRule="auto"/>
      </w:pPr>
      <w:r>
        <w:separator/>
      </w:r>
    </w:p>
  </w:endnote>
  <w:endnote w:type="continuationSeparator" w:id="0">
    <w:p w:rsidR="00946DA1" w:rsidRDefault="00946DA1" w:rsidP="00946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639280"/>
      <w:docPartObj>
        <w:docPartGallery w:val="Page Numbers (Bottom of Page)"/>
        <w:docPartUnique/>
      </w:docPartObj>
    </w:sdtPr>
    <w:sdtEndPr>
      <w:rPr>
        <w:noProof/>
      </w:rPr>
    </w:sdtEndPr>
    <w:sdtContent>
      <w:p w:rsidR="009E26C3" w:rsidRDefault="009E26C3">
        <w:pPr>
          <w:pStyle w:val="Footer"/>
          <w:jc w:val="right"/>
        </w:pPr>
        <w:r>
          <w:fldChar w:fldCharType="begin"/>
        </w:r>
        <w:r>
          <w:instrText xml:space="preserve"> PAGE   \* MERGEFORMAT </w:instrText>
        </w:r>
        <w:r>
          <w:fldChar w:fldCharType="separate"/>
        </w:r>
        <w:r w:rsidR="007F793D">
          <w:rPr>
            <w:noProof/>
          </w:rPr>
          <w:t>11</w:t>
        </w:r>
        <w:r>
          <w:rPr>
            <w:noProof/>
          </w:rPr>
          <w:fldChar w:fldCharType="end"/>
        </w:r>
      </w:p>
    </w:sdtContent>
  </w:sdt>
  <w:p w:rsidR="00946DA1" w:rsidRDefault="00946D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DA1" w:rsidRDefault="00946DA1" w:rsidP="00946DA1">
      <w:pPr>
        <w:spacing w:after="0" w:line="240" w:lineRule="auto"/>
      </w:pPr>
      <w:r>
        <w:separator/>
      </w:r>
    </w:p>
  </w:footnote>
  <w:footnote w:type="continuationSeparator" w:id="0">
    <w:p w:rsidR="00946DA1" w:rsidRDefault="00946DA1" w:rsidP="00946D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3760"/>
    <w:multiLevelType w:val="multilevel"/>
    <w:tmpl w:val="459C071C"/>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1" w15:restartNumberingAfterBreak="0">
    <w:nsid w:val="21DA59F3"/>
    <w:multiLevelType w:val="multilevel"/>
    <w:tmpl w:val="FD5E837C"/>
    <w:lvl w:ilvl="0">
      <w:start w:val="1"/>
      <w:numFmt w:val="decimal"/>
      <w:lvlText w:val="%1."/>
      <w:lvlJc w:val="left"/>
      <w:pPr>
        <w:ind w:left="615" w:hanging="615"/>
      </w:pPr>
      <w:rPr>
        <w:rFonts w:hint="default"/>
      </w:rPr>
    </w:lvl>
    <w:lvl w:ilvl="1">
      <w:start w:val="2"/>
      <w:numFmt w:val="decimal"/>
      <w:lvlText w:val="%1.%2."/>
      <w:lvlJc w:val="left"/>
      <w:pPr>
        <w:ind w:left="900" w:hanging="72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530" w:hanging="108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414CEE"/>
    <w:multiLevelType w:val="multilevel"/>
    <w:tmpl w:val="B3F2DDAA"/>
    <w:lvl w:ilvl="0">
      <w:start w:val="1"/>
      <w:numFmt w:val="decimal"/>
      <w:lvlText w:val="%1."/>
      <w:lvlJc w:val="left"/>
      <w:pPr>
        <w:ind w:left="405" w:hanging="40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618911F1"/>
    <w:multiLevelType w:val="multilevel"/>
    <w:tmpl w:val="E330675E"/>
    <w:lvl w:ilvl="0">
      <w:start w:val="1"/>
      <w:numFmt w:val="decimal"/>
      <w:lvlText w:val="%1."/>
      <w:lvlJc w:val="left"/>
      <w:pPr>
        <w:ind w:left="720" w:hanging="360"/>
      </w:pPr>
      <w:rPr>
        <w:rFonts w:asciiTheme="minorHAnsi" w:hAnsiTheme="minorHAnsi" w:hint="default"/>
        <w:b/>
      </w:rPr>
    </w:lvl>
    <w:lvl w:ilvl="1">
      <w:start w:val="9"/>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24"/>
    <w:rsid w:val="000114AE"/>
    <w:rsid w:val="00061CD5"/>
    <w:rsid w:val="00083CFE"/>
    <w:rsid w:val="000A5C39"/>
    <w:rsid w:val="000B0A7C"/>
    <w:rsid w:val="00163B24"/>
    <w:rsid w:val="00196AA7"/>
    <w:rsid w:val="001B0EFF"/>
    <w:rsid w:val="00214BA2"/>
    <w:rsid w:val="00246626"/>
    <w:rsid w:val="002579FD"/>
    <w:rsid w:val="00281A41"/>
    <w:rsid w:val="00384BC9"/>
    <w:rsid w:val="003A54B7"/>
    <w:rsid w:val="00476DD6"/>
    <w:rsid w:val="00493F8B"/>
    <w:rsid w:val="004B2209"/>
    <w:rsid w:val="004F6E3C"/>
    <w:rsid w:val="00521D59"/>
    <w:rsid w:val="005364F4"/>
    <w:rsid w:val="005450BA"/>
    <w:rsid w:val="00652A17"/>
    <w:rsid w:val="006F35B5"/>
    <w:rsid w:val="007F793D"/>
    <w:rsid w:val="008C57F7"/>
    <w:rsid w:val="008F6B01"/>
    <w:rsid w:val="00916657"/>
    <w:rsid w:val="00946DA1"/>
    <w:rsid w:val="009517A7"/>
    <w:rsid w:val="009E26C3"/>
    <w:rsid w:val="00A43236"/>
    <w:rsid w:val="00A63184"/>
    <w:rsid w:val="00AA65C7"/>
    <w:rsid w:val="00AC2B73"/>
    <w:rsid w:val="00AD1DE2"/>
    <w:rsid w:val="00B32FF0"/>
    <w:rsid w:val="00B62525"/>
    <w:rsid w:val="00BA4CA1"/>
    <w:rsid w:val="00BD66F6"/>
    <w:rsid w:val="00BE4963"/>
    <w:rsid w:val="00C36DA2"/>
    <w:rsid w:val="00CA1FA8"/>
    <w:rsid w:val="00D26828"/>
    <w:rsid w:val="00E142CB"/>
    <w:rsid w:val="00E41992"/>
    <w:rsid w:val="00E93A09"/>
    <w:rsid w:val="00F970B5"/>
    <w:rsid w:val="00FD3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3953C1-FEA8-4060-9B02-80323970F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xt),(Section),Section Heading,1, 1,Chapter,head3"/>
    <w:basedOn w:val="Normal"/>
    <w:next w:val="Normal"/>
    <w:link w:val="Heading1Char"/>
    <w:autoRedefine/>
    <w:uiPriority w:val="99"/>
    <w:qFormat/>
    <w:rsid w:val="00E142CB"/>
    <w:pPr>
      <w:tabs>
        <w:tab w:val="left" w:pos="0"/>
      </w:tabs>
      <w:spacing w:before="120" w:after="0" w:line="240" w:lineRule="auto"/>
      <w:jc w:val="both"/>
      <w:outlineLvl w:val="0"/>
    </w:pPr>
    <w:rPr>
      <w:rFonts w:ascii="GHEA Grapalat" w:eastAsiaTheme="majorEastAsia" w:hAnsi="GHEA Grapalat" w:cstheme="majorBidi"/>
      <w:b/>
      <w:bCs/>
      <w:color w:val="44546A" w:themeColor="text2"/>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B24"/>
    <w:pPr>
      <w:ind w:left="720"/>
      <w:contextualSpacing/>
    </w:pPr>
  </w:style>
  <w:style w:type="paragraph" w:customStyle="1" w:styleId="TOC4">
    <w:name w:val="TOC 4 | Վերնագրեր"/>
    <w:next w:val="Normal"/>
    <w:link w:val="TOC4Char"/>
    <w:qFormat/>
    <w:rsid w:val="00163B24"/>
    <w:pPr>
      <w:spacing w:before="360" w:after="0" w:line="276" w:lineRule="auto"/>
    </w:pPr>
    <w:rPr>
      <w:rFonts w:ascii="GHEA Grapalat" w:eastAsiaTheme="minorEastAsia" w:hAnsi="GHEA Grapalat"/>
      <w:color w:val="A6A6A6" w:themeColor="background1" w:themeShade="A6"/>
      <w:szCs w:val="20"/>
    </w:rPr>
  </w:style>
  <w:style w:type="paragraph" w:customStyle="1" w:styleId="BodyText1">
    <w:name w:val="Body Text1"/>
    <w:next w:val="Normal"/>
    <w:link w:val="BodytextChar"/>
    <w:qFormat/>
    <w:rsid w:val="00163B24"/>
    <w:pPr>
      <w:spacing w:before="120" w:after="120" w:line="276" w:lineRule="auto"/>
      <w:ind w:left="432"/>
      <w:jc w:val="both"/>
    </w:pPr>
    <w:rPr>
      <w:rFonts w:ascii="GHEA Grapalat" w:eastAsiaTheme="minorEastAsia" w:hAnsi="GHEA Grapalat"/>
      <w:color w:val="404040" w:themeColor="text1" w:themeTint="BF"/>
      <w:szCs w:val="20"/>
    </w:rPr>
  </w:style>
  <w:style w:type="character" w:customStyle="1" w:styleId="TOC4Char">
    <w:name w:val="TOC 4 | Վերնագրեր Char"/>
    <w:basedOn w:val="DefaultParagraphFont"/>
    <w:link w:val="TOC4"/>
    <w:rsid w:val="00163B24"/>
    <w:rPr>
      <w:rFonts w:ascii="GHEA Grapalat" w:eastAsiaTheme="minorEastAsia" w:hAnsi="GHEA Grapalat"/>
      <w:color w:val="A6A6A6" w:themeColor="background1" w:themeShade="A6"/>
      <w:szCs w:val="20"/>
    </w:rPr>
  </w:style>
  <w:style w:type="paragraph" w:customStyle="1" w:styleId="BodytextBullets">
    <w:name w:val="Body text | Bullets"/>
    <w:basedOn w:val="BodyText1"/>
    <w:link w:val="BodytextBulletsChar"/>
    <w:qFormat/>
    <w:rsid w:val="00163B24"/>
    <w:pPr>
      <w:numPr>
        <w:numId w:val="2"/>
      </w:numPr>
    </w:pPr>
  </w:style>
  <w:style w:type="character" w:customStyle="1" w:styleId="BodytextChar">
    <w:name w:val="Body text Char"/>
    <w:basedOn w:val="TOC4Char"/>
    <w:link w:val="BodyText1"/>
    <w:rsid w:val="00163B24"/>
    <w:rPr>
      <w:rFonts w:ascii="GHEA Grapalat" w:eastAsiaTheme="minorEastAsia" w:hAnsi="GHEA Grapalat"/>
      <w:color w:val="404040" w:themeColor="text1" w:themeTint="BF"/>
      <w:szCs w:val="20"/>
    </w:rPr>
  </w:style>
  <w:style w:type="character" w:customStyle="1" w:styleId="BodytextBulletsChar">
    <w:name w:val="Body text | Bullets Char"/>
    <w:basedOn w:val="BodytextChar"/>
    <w:link w:val="BodytextBullets"/>
    <w:rsid w:val="00163B24"/>
    <w:rPr>
      <w:rFonts w:ascii="GHEA Grapalat" w:eastAsiaTheme="minorEastAsia" w:hAnsi="GHEA Grapalat"/>
      <w:color w:val="404040" w:themeColor="text1" w:themeTint="BF"/>
      <w:szCs w:val="20"/>
    </w:rPr>
  </w:style>
  <w:style w:type="table" w:styleId="TableGrid">
    <w:name w:val="Table Grid"/>
    <w:basedOn w:val="TableNormal"/>
    <w:uiPriority w:val="39"/>
    <w:rsid w:val="004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4F6E3C"/>
    <w:pPr>
      <w:spacing w:before="120" w:after="120" w:line="240" w:lineRule="auto"/>
      <w:jc w:val="both"/>
    </w:pPr>
    <w:rPr>
      <w:rFonts w:ascii="Times Armenian" w:eastAsia="Times New Roman" w:hAnsi="Times Armenian" w:cs="Times New Roman"/>
      <w:b/>
      <w:bCs/>
      <w:sz w:val="20"/>
      <w:szCs w:val="24"/>
      <w:lang w:val="en-GB"/>
    </w:rPr>
  </w:style>
  <w:style w:type="character" w:customStyle="1" w:styleId="Heading1Char">
    <w:name w:val="Heading 1 Char"/>
    <w:aliases w:val="(Text) Char,(Section) Char,Section Heading Char,1 Char, 1 Char,Chapter Char,head3 Char"/>
    <w:basedOn w:val="DefaultParagraphFont"/>
    <w:link w:val="Heading1"/>
    <w:uiPriority w:val="99"/>
    <w:rsid w:val="00E142CB"/>
    <w:rPr>
      <w:rFonts w:ascii="GHEA Grapalat" w:eastAsiaTheme="majorEastAsia" w:hAnsi="GHEA Grapalat" w:cstheme="majorBidi"/>
      <w:b/>
      <w:bCs/>
      <w:color w:val="44546A" w:themeColor="text2"/>
      <w:sz w:val="24"/>
      <w:szCs w:val="24"/>
      <w:lang w:val="hy-AM"/>
    </w:rPr>
  </w:style>
  <w:style w:type="paragraph" w:styleId="NormalWeb">
    <w:name w:val="Normal (Web)"/>
    <w:basedOn w:val="Normal"/>
    <w:uiPriority w:val="99"/>
    <w:semiHidden/>
    <w:unhideWhenUsed/>
    <w:rsid w:val="005450B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46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DA1"/>
  </w:style>
  <w:style w:type="paragraph" w:styleId="Footer">
    <w:name w:val="footer"/>
    <w:basedOn w:val="Normal"/>
    <w:link w:val="FooterChar"/>
    <w:uiPriority w:val="99"/>
    <w:unhideWhenUsed/>
    <w:rsid w:val="00946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60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50C2-EA3F-4427-B8EE-6CB21D30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11</Pages>
  <Words>3760</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Artak Karapetyan</cp:lastModifiedBy>
  <cp:revision>31</cp:revision>
  <dcterms:created xsi:type="dcterms:W3CDTF">2025-09-19T13:29:00Z</dcterms:created>
  <dcterms:modified xsi:type="dcterms:W3CDTF">2025-09-29T13:27:00Z</dcterms:modified>
</cp:coreProperties>
</file>